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6"/>
        <w:tblW w:w="9444" w:type="dxa"/>
        <w:tblLook w:val="00A0"/>
      </w:tblPr>
      <w:tblGrid>
        <w:gridCol w:w="9444"/>
      </w:tblGrid>
      <w:tr w:rsidR="00FA2023" w:rsidRPr="000D7A55" w:rsidTr="00FA2023">
        <w:trPr>
          <w:trHeight w:val="573"/>
        </w:trPr>
        <w:tc>
          <w:tcPr>
            <w:tcW w:w="9444" w:type="dxa"/>
          </w:tcPr>
          <w:p w:rsidR="00FA2023" w:rsidRPr="001C290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FA2023" w:rsidRPr="001C2904" w:rsidRDefault="00FA2023" w:rsidP="00FA202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FA2023" w:rsidRPr="005C19C2" w:rsidRDefault="00FA2023" w:rsidP="00FA202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A2023" w:rsidRPr="00696FF7" w:rsidRDefault="00FA2023" w:rsidP="00FA2023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r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  <w:r w:rsidRPr="00696FF7">
              <w:rPr>
                <w:b w:val="0"/>
              </w:rPr>
              <w:t xml:space="preserve"> 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</w:p>
          <w:p w:rsidR="00FA2023" w:rsidRDefault="00FA2023" w:rsidP="00FA2023">
            <w:pPr>
              <w:pStyle w:val="ConsPlusTitle"/>
              <w:widowControl/>
              <w:rPr>
                <w:b w:val="0"/>
              </w:rPr>
            </w:pPr>
          </w:p>
          <w:p w:rsidR="00FA2023" w:rsidRPr="00696FF7" w:rsidRDefault="00FA2023" w:rsidP="00FA2023">
            <w:pPr>
              <w:pStyle w:val="ConsPlusTitle"/>
              <w:widowControl/>
              <w:rPr>
                <w:b w:val="0"/>
                <w:sz w:val="28"/>
              </w:rPr>
            </w:pPr>
            <w:r w:rsidRPr="00696FF7">
              <w:rPr>
                <w:b w:val="0"/>
                <w:sz w:val="28"/>
              </w:rPr>
              <w:t xml:space="preserve">от </w:t>
            </w:r>
            <w:r>
              <w:rPr>
                <w:b w:val="0"/>
                <w:sz w:val="28"/>
              </w:rPr>
              <w:t xml:space="preserve"> </w:t>
            </w:r>
            <w:r w:rsidR="002E0B83">
              <w:rPr>
                <w:b w:val="0"/>
                <w:sz w:val="28"/>
              </w:rPr>
              <w:t>20.11.2020</w:t>
            </w:r>
            <w:r w:rsidRPr="00696FF7">
              <w:rPr>
                <w:b w:val="0"/>
                <w:sz w:val="28"/>
              </w:rPr>
              <w:t xml:space="preserve">                    </w:t>
            </w:r>
            <w:r>
              <w:rPr>
                <w:b w:val="0"/>
                <w:sz w:val="28"/>
              </w:rPr>
              <w:t xml:space="preserve">                        </w:t>
            </w:r>
            <w:r w:rsidRPr="00696FF7">
              <w:rPr>
                <w:b w:val="0"/>
                <w:sz w:val="28"/>
              </w:rPr>
              <w:t xml:space="preserve">     </w:t>
            </w:r>
            <w:r>
              <w:rPr>
                <w:b w:val="0"/>
                <w:sz w:val="28"/>
              </w:rPr>
              <w:t xml:space="preserve">                     </w:t>
            </w:r>
            <w:r w:rsidRPr="00696FF7">
              <w:rPr>
                <w:b w:val="0"/>
                <w:sz w:val="28"/>
              </w:rPr>
              <w:t xml:space="preserve">                      №</w:t>
            </w:r>
            <w:r>
              <w:rPr>
                <w:b w:val="0"/>
                <w:sz w:val="28"/>
              </w:rPr>
              <w:t xml:space="preserve"> </w:t>
            </w:r>
            <w:r w:rsidR="002E0B83">
              <w:rPr>
                <w:b w:val="0"/>
                <w:sz w:val="28"/>
              </w:rPr>
              <w:t>303</w:t>
            </w:r>
          </w:p>
          <w:p w:rsidR="00FA2023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</w:p>
          <w:p w:rsidR="00FA2023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О    внесении  изменений  в постановление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администрации поселка Балакирево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>от 01.03.2019г  № 75  «Об  утверждении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 муниципальной программы «Переселение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  <w:r w:rsidRPr="000D7A55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A2023" w:rsidRPr="000D7A55" w:rsidRDefault="00FA2023" w:rsidP="00FA2023">
            <w:pPr>
              <w:rPr>
                <w:i/>
              </w:rPr>
            </w:pPr>
            <w:r w:rsidRPr="000D7A55">
              <w:rPr>
                <w:i/>
              </w:rPr>
              <w:t xml:space="preserve">муниципального образования городское </w:t>
            </w:r>
          </w:p>
          <w:p w:rsidR="00FA2023" w:rsidRPr="000D7A55" w:rsidRDefault="00FA2023" w:rsidP="00FA2023">
            <w:pPr>
              <w:rPr>
                <w:i/>
              </w:rPr>
            </w:pPr>
            <w:r w:rsidRPr="000D7A55">
              <w:rPr>
                <w:i/>
              </w:rPr>
              <w:t xml:space="preserve">поселение поселок Балакирево» </w:t>
            </w:r>
          </w:p>
          <w:p w:rsidR="00FA2023" w:rsidRPr="000D7A55" w:rsidRDefault="00FA2023" w:rsidP="00FA2023">
            <w:pPr>
              <w:pStyle w:val="ConsPlusTitle"/>
              <w:widowControl/>
              <w:rPr>
                <w:b w:val="0"/>
                <w:i/>
              </w:rPr>
            </w:pPr>
          </w:p>
          <w:p w:rsidR="00FA2023" w:rsidRPr="000D7A55" w:rsidRDefault="00FA2023" w:rsidP="00FA2023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5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целью уточнения показателей реализации областной адресной программы «Обеспечение устойчивого сокращения непригодного для проживания жилищного фонда Владимирской области» в муниципальном образовании поселок Балакирево, в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Указом Президент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 Российской Федерации от 07.05.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жащим сносу или реконструкции»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Уставом муниципального образования поселок Балакирево, на основании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Постановления администрации Владимирской области от 26.10.2020 № 699 «О внесении изменений в постановление администрации области от 28.03.2019 № 235», 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предоставлении субсидии на обеспечение проживающих в аварийном жилищном фонде граждан жилыми помещениями муниципального образования городское поселение поселок Балакирево от 24.01.2020 № 61 с Департаментом ЖКХ Владимирской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FA2023" w:rsidRPr="000D7A55" w:rsidRDefault="00FA2023" w:rsidP="00FA2023">
            <w:pPr>
              <w:jc w:val="both"/>
              <w:rPr>
                <w:sz w:val="28"/>
                <w:szCs w:val="28"/>
              </w:rPr>
            </w:pPr>
          </w:p>
          <w:p w:rsidR="00FA2023" w:rsidRDefault="00FA2023" w:rsidP="00FA2023">
            <w:pPr>
              <w:jc w:val="center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ПОСТАНОВЛЯЮ:</w:t>
            </w:r>
          </w:p>
          <w:p w:rsidR="00FA2023" w:rsidRPr="000D7A55" w:rsidRDefault="00FA2023" w:rsidP="00FA2023">
            <w:pPr>
              <w:jc w:val="center"/>
              <w:rPr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tabs>
                <w:tab w:val="left" w:pos="812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Внести изменения в муниципальную программу «Переселение      граждан из аварийного жилищного фонда муниципального образования поселок  Балакирево»  согласно приложению.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  <w:szCs w:val="28"/>
              </w:rPr>
              <w:t>Контроль  за исполнением настоящего постановления оставляю за собой.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tabs>
                <w:tab w:val="left" w:pos="1930"/>
                <w:tab w:val="left" w:pos="7740"/>
              </w:tabs>
              <w:ind w:left="406"/>
              <w:jc w:val="both"/>
              <w:rPr>
                <w:sz w:val="28"/>
                <w:szCs w:val="28"/>
              </w:rPr>
            </w:pPr>
            <w:r w:rsidRPr="000D7A55">
              <w:rPr>
                <w:sz w:val="28"/>
              </w:rPr>
              <w:lastRenderedPageBreak/>
              <w:t>Опубликовать настоящее постановление в СМИ без  приложения, а с приложением разместить на официальном</w:t>
            </w:r>
            <w:r w:rsidRPr="000D7A55">
              <w:rPr>
                <w:sz w:val="28"/>
                <w:szCs w:val="28"/>
              </w:rPr>
              <w:t xml:space="preserve">  </w:t>
            </w:r>
            <w:r w:rsidRPr="000D7A55">
              <w:rPr>
                <w:sz w:val="28"/>
              </w:rPr>
              <w:t>сайте администрации посёлка -  балакирево.рф.</w:t>
            </w:r>
          </w:p>
          <w:p w:rsidR="00FA2023" w:rsidRPr="000D7A55" w:rsidRDefault="00FA2023" w:rsidP="00FA2023">
            <w:pPr>
              <w:pStyle w:val="ad"/>
              <w:numPr>
                <w:ilvl w:val="0"/>
                <w:numId w:val="9"/>
              </w:numPr>
              <w:ind w:left="406"/>
              <w:jc w:val="both"/>
              <w:rPr>
                <w:sz w:val="28"/>
              </w:rPr>
            </w:pPr>
            <w:r w:rsidRPr="000D7A55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FA2023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FA2023" w:rsidP="00FA202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A2023" w:rsidRPr="000D7A55" w:rsidRDefault="00166ED3" w:rsidP="00166ED3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FA202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FA2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FA2023" w:rsidRPr="000D7A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В.А. Барсков</w:t>
            </w:r>
          </w:p>
        </w:tc>
      </w:tr>
    </w:tbl>
    <w:p w:rsidR="00364845" w:rsidRDefault="00364845"/>
    <w:p w:rsidR="000D7A55" w:rsidRDefault="000D7A55" w:rsidP="001C5A9C">
      <w:pPr>
        <w:pStyle w:val="ConsPlusTitle"/>
        <w:widowControl/>
        <w:jc w:val="right"/>
        <w:rPr>
          <w:b w:val="0"/>
          <w:szCs w:val="28"/>
        </w:rPr>
      </w:pPr>
    </w:p>
    <w:p w:rsidR="000D7A55" w:rsidRDefault="000D7A55">
      <w:pPr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:rsidR="001C2904" w:rsidRPr="00F07C98" w:rsidRDefault="001C2904" w:rsidP="001C5A9C">
      <w:pPr>
        <w:pStyle w:val="ConsPlusTitle"/>
        <w:widowControl/>
        <w:jc w:val="right"/>
        <w:rPr>
          <w:b w:val="0"/>
          <w:sz w:val="28"/>
          <w:szCs w:val="28"/>
        </w:rPr>
      </w:pPr>
      <w:r w:rsidRPr="001C2904">
        <w:rPr>
          <w:b w:val="0"/>
          <w:szCs w:val="28"/>
        </w:rPr>
        <w:lastRenderedPageBreak/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</w:t>
      </w:r>
      <w:r w:rsidR="000D7A55">
        <w:rPr>
          <w:b w:val="0"/>
          <w:szCs w:val="28"/>
        </w:rPr>
        <w:t xml:space="preserve"> </w:t>
      </w:r>
      <w:r w:rsidRPr="001C2904">
        <w:rPr>
          <w:b w:val="0"/>
          <w:szCs w:val="28"/>
        </w:rPr>
        <w:t>Балакирево</w:t>
      </w:r>
    </w:p>
    <w:p w:rsidR="001C2904" w:rsidRPr="00A72D0D" w:rsidRDefault="001C2904" w:rsidP="00A95382">
      <w:pPr>
        <w:pStyle w:val="ConsPlusTitle"/>
        <w:widowControl/>
        <w:ind w:left="1560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</w:t>
      </w:r>
      <w:r w:rsidR="000D7A55">
        <w:rPr>
          <w:b w:val="0"/>
          <w:szCs w:val="28"/>
        </w:rPr>
        <w:t xml:space="preserve"> </w:t>
      </w:r>
      <w:r w:rsidR="002E0B83">
        <w:rPr>
          <w:b w:val="0"/>
          <w:szCs w:val="28"/>
        </w:rPr>
        <w:t xml:space="preserve">20.11.2020 </w:t>
      </w:r>
      <w:r w:rsidRPr="001C2904">
        <w:rPr>
          <w:b w:val="0"/>
          <w:szCs w:val="28"/>
        </w:rPr>
        <w:t>№</w:t>
      </w:r>
      <w:r w:rsidR="00A02180">
        <w:rPr>
          <w:b w:val="0"/>
          <w:szCs w:val="28"/>
        </w:rPr>
        <w:t xml:space="preserve"> </w:t>
      </w:r>
      <w:r w:rsidR="000D7A55">
        <w:rPr>
          <w:b w:val="0"/>
          <w:szCs w:val="28"/>
        </w:rPr>
        <w:t xml:space="preserve">  </w:t>
      </w:r>
      <w:r w:rsidR="00A95382">
        <w:rPr>
          <w:b w:val="0"/>
          <w:szCs w:val="28"/>
        </w:rPr>
        <w:t xml:space="preserve"> </w:t>
      </w:r>
      <w:r w:rsidR="002E0B83">
        <w:rPr>
          <w:b w:val="0"/>
          <w:szCs w:val="28"/>
        </w:rPr>
        <w:t>303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513"/>
      </w:tblGrid>
      <w:tr w:rsidR="001C2904" w:rsidRPr="00EE09DB" w:rsidTr="00900FED">
        <w:trPr>
          <w:trHeight w:val="665"/>
        </w:trPr>
        <w:tc>
          <w:tcPr>
            <w:tcW w:w="294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Администратор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900FED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Администрация поселка Балакирево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51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Исполнители основных мероприятий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МКУ «Дирекция жизнеобеспечения населения»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4"/>
                <w:szCs w:val="28"/>
              </w:rPr>
            </w:pP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51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Не имеется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Цель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EE09DB" w:rsidTr="006A2A68">
        <w:tc>
          <w:tcPr>
            <w:tcW w:w="2943" w:type="dxa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EE09DB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переселяемых граждан.</w:t>
            </w:r>
          </w:p>
          <w:p w:rsidR="001C2904" w:rsidRPr="00900FED" w:rsidRDefault="001C2904" w:rsidP="006A2A68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Количество аварийных жилых домов, подлежащих сносу</w:t>
            </w:r>
          </w:p>
        </w:tc>
      </w:tr>
      <w:tr w:rsidR="001C2904" w:rsidRPr="00EE09DB" w:rsidTr="006A2A68">
        <w:tc>
          <w:tcPr>
            <w:tcW w:w="2943" w:type="dxa"/>
            <w:vAlign w:val="bottom"/>
          </w:tcPr>
          <w:p w:rsidR="001C2904" w:rsidRPr="00EE09DB" w:rsidRDefault="001C2904" w:rsidP="006A2A68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513" w:type="dxa"/>
          </w:tcPr>
          <w:p w:rsidR="001C2904" w:rsidRPr="00EE09DB" w:rsidRDefault="001C2904" w:rsidP="00E80AB5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4"/>
                <w:szCs w:val="28"/>
              </w:rPr>
            </w:pPr>
            <w:r w:rsidRPr="00EE09DB">
              <w:rPr>
                <w:rStyle w:val="11"/>
                <w:rFonts w:eastAsiaTheme="minorHAnsi"/>
                <w:sz w:val="24"/>
                <w:szCs w:val="28"/>
              </w:rPr>
              <w:t>2019-202</w:t>
            </w:r>
            <w:r w:rsidR="00E80AB5">
              <w:rPr>
                <w:rStyle w:val="11"/>
                <w:rFonts w:eastAsiaTheme="minorHAnsi"/>
                <w:sz w:val="24"/>
                <w:szCs w:val="28"/>
              </w:rPr>
              <w:t>2</w:t>
            </w:r>
            <w:r w:rsidRPr="00EE09DB">
              <w:rPr>
                <w:rStyle w:val="11"/>
                <w:rFonts w:eastAsiaTheme="minorHAnsi"/>
                <w:sz w:val="24"/>
                <w:szCs w:val="28"/>
              </w:rPr>
              <w:t xml:space="preserve"> годы</w:t>
            </w:r>
          </w:p>
        </w:tc>
      </w:tr>
      <w:tr w:rsidR="001C2904" w:rsidRPr="00E346B0" w:rsidTr="00FA2023">
        <w:tc>
          <w:tcPr>
            <w:tcW w:w="2943" w:type="dxa"/>
          </w:tcPr>
          <w:p w:rsidR="001C2904" w:rsidRPr="00E346B0" w:rsidRDefault="006558AC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>
              <w:br w:type="page"/>
            </w:r>
            <w:r w:rsidR="001C2904" w:rsidRPr="00E346B0">
              <w:rPr>
                <w:rStyle w:val="11"/>
                <w:rFonts w:eastAsiaTheme="minorHAnsi"/>
                <w:sz w:val="24"/>
                <w:szCs w:val="22"/>
              </w:rPr>
              <w:t>Объем и источники финансирования муниципальной программы (по годам реализации и в разрезе источников финансирования)</w:t>
            </w:r>
          </w:p>
        </w:tc>
        <w:tc>
          <w:tcPr>
            <w:tcW w:w="7513" w:type="dxa"/>
          </w:tcPr>
          <w:p w:rsidR="001C2904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Объем финансирования Программы на весь период ее реализации составляет </w:t>
            </w:r>
            <w:r w:rsidR="00D51638" w:rsidRPr="00E346B0">
              <w:rPr>
                <w:b/>
                <w:szCs w:val="22"/>
              </w:rPr>
              <w:t xml:space="preserve"> </w:t>
            </w:r>
            <w:r w:rsidR="00563443" w:rsidRPr="00563443">
              <w:rPr>
                <w:b/>
                <w:szCs w:val="22"/>
                <w:highlight w:val="yellow"/>
              </w:rPr>
              <w:t>8 674 717,99</w:t>
            </w:r>
            <w:r w:rsidR="00CB22CB" w:rsidRPr="00E346B0">
              <w:rPr>
                <w:b/>
                <w:szCs w:val="22"/>
              </w:rPr>
              <w:t xml:space="preserve"> </w:t>
            </w:r>
            <w:r w:rsidRPr="00E346B0">
              <w:rPr>
                <w:szCs w:val="22"/>
              </w:rPr>
              <w:t>руб. в том числе:</w:t>
            </w:r>
          </w:p>
          <w:p w:rsidR="00FA2023" w:rsidRPr="00E346B0" w:rsidRDefault="00FA2023" w:rsidP="00E346B0">
            <w:pPr>
              <w:autoSpaceDE w:val="0"/>
              <w:autoSpaceDN w:val="0"/>
              <w:adjustRightInd w:val="0"/>
              <w:jc w:val="both"/>
            </w:pPr>
          </w:p>
          <w:p w:rsidR="00B6487D" w:rsidRPr="00657887" w:rsidRDefault="001C2904" w:rsidP="00657887">
            <w:pPr>
              <w:keepNext/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федерального бюджета</w:t>
            </w:r>
            <w:r w:rsidRPr="00E346B0">
              <w:rPr>
                <w:szCs w:val="22"/>
              </w:rPr>
              <w:t xml:space="preserve">  </w:t>
            </w:r>
            <w:r w:rsidR="006D620E" w:rsidRPr="00E346B0">
              <w:rPr>
                <w:b/>
                <w:szCs w:val="22"/>
              </w:rPr>
              <w:t>1</w:t>
            </w:r>
            <w:r w:rsidR="00A054B1" w:rsidRPr="00E346B0">
              <w:rPr>
                <w:b/>
                <w:szCs w:val="22"/>
              </w:rPr>
              <w:t> 637 874,31</w:t>
            </w:r>
            <w:r w:rsidRPr="00E346B0">
              <w:rPr>
                <w:szCs w:val="22"/>
              </w:rPr>
              <w:t xml:space="preserve"> рублей; в том числе по годам: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-  </w:t>
            </w:r>
            <w:r w:rsidR="00A054B1" w:rsidRPr="00E346B0">
              <w:rPr>
                <w:b/>
                <w:szCs w:val="22"/>
              </w:rPr>
              <w:t>1 637 874,31</w:t>
            </w:r>
            <w:r w:rsidR="00A054B1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 xml:space="preserve">2020 год </w:t>
            </w:r>
            <w:r w:rsidRPr="00E346B0">
              <w:rPr>
                <w:szCs w:val="22"/>
              </w:rPr>
              <w:t>–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 -</w:t>
            </w:r>
            <w:r w:rsidRPr="00E346B0">
              <w:rPr>
                <w:szCs w:val="22"/>
              </w:rPr>
              <w:t xml:space="preserve">   0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</w:t>
            </w:r>
            <w:r w:rsidRPr="00E346B0">
              <w:rPr>
                <w:b/>
                <w:szCs w:val="22"/>
              </w:rPr>
              <w:t xml:space="preserve">д-  </w:t>
            </w:r>
            <w:r w:rsidRPr="00E346B0">
              <w:rPr>
                <w:szCs w:val="22"/>
              </w:rPr>
              <w:t>0 руб.;</w:t>
            </w:r>
          </w:p>
          <w:p w:rsidR="00A054B1" w:rsidRPr="00E346B0" w:rsidRDefault="00A054B1" w:rsidP="00E346B0">
            <w:pPr>
              <w:autoSpaceDE w:val="0"/>
              <w:autoSpaceDN w:val="0"/>
              <w:adjustRightInd w:val="0"/>
              <w:jc w:val="both"/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szCs w:val="22"/>
              </w:rPr>
              <w:t xml:space="preserve">- </w:t>
            </w:r>
            <w:r w:rsidRPr="00E346B0">
              <w:rPr>
                <w:i/>
                <w:szCs w:val="22"/>
                <w:u w:val="single"/>
              </w:rPr>
              <w:t>областного бюджета</w:t>
            </w:r>
            <w:r w:rsidRPr="00E346B0">
              <w:rPr>
                <w:szCs w:val="22"/>
              </w:rPr>
              <w:t xml:space="preserve"> </w:t>
            </w:r>
            <w:r w:rsidR="00563443" w:rsidRPr="00563443">
              <w:rPr>
                <w:b/>
                <w:szCs w:val="22"/>
                <w:highlight w:val="yellow"/>
              </w:rPr>
              <w:t>4 779 913,82</w:t>
            </w:r>
            <w:r w:rsidRPr="00E346B0">
              <w:rPr>
                <w:szCs w:val="22"/>
              </w:rPr>
              <w:t xml:space="preserve"> рублей, в том числе по годам: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2019 год</w:t>
            </w:r>
            <w:r w:rsidRPr="00E346B0">
              <w:rPr>
                <w:szCs w:val="22"/>
              </w:rPr>
              <w:t xml:space="preserve"> –</w:t>
            </w:r>
            <w:r w:rsidR="00CB22CB" w:rsidRPr="00E346B0">
              <w:rPr>
                <w:szCs w:val="22"/>
              </w:rPr>
              <w:t xml:space="preserve"> </w:t>
            </w:r>
            <w:r w:rsidR="00A054B1" w:rsidRPr="00E346B0">
              <w:rPr>
                <w:szCs w:val="22"/>
              </w:rPr>
              <w:t>683 324,51</w:t>
            </w:r>
            <w:r w:rsidR="00CB22CB" w:rsidRPr="00E346B0">
              <w:rPr>
                <w:szCs w:val="22"/>
              </w:rPr>
              <w:t xml:space="preserve"> </w:t>
            </w:r>
            <w:r w:rsidRPr="00E346B0">
              <w:rPr>
                <w:szCs w:val="22"/>
              </w:rPr>
              <w:t xml:space="preserve">руб.; 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2020 год</w:t>
            </w:r>
            <w:r w:rsidR="00563443">
              <w:rPr>
                <w:szCs w:val="22"/>
              </w:rPr>
              <w:t xml:space="preserve"> – </w:t>
            </w:r>
            <w:r w:rsidR="00563443" w:rsidRPr="00563443">
              <w:rPr>
                <w:szCs w:val="22"/>
                <w:highlight w:val="yellow"/>
              </w:rPr>
              <w:t>1 983 742,40</w:t>
            </w:r>
            <w:r w:rsidRPr="00563443">
              <w:rPr>
                <w:szCs w:val="22"/>
                <w:highlight w:val="yellow"/>
              </w:rPr>
              <w:t xml:space="preserve"> 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CB22CB" w:rsidRPr="00E346B0">
              <w:rPr>
                <w:szCs w:val="22"/>
              </w:rPr>
              <w:t xml:space="preserve"> – </w:t>
            </w:r>
            <w:r w:rsidR="00CB22CB" w:rsidRPr="00563443">
              <w:rPr>
                <w:szCs w:val="22"/>
                <w:highlight w:val="yellow"/>
              </w:rPr>
              <w:t>928</w:t>
            </w:r>
            <w:r w:rsidR="00563443" w:rsidRPr="00563443">
              <w:rPr>
                <w:szCs w:val="22"/>
                <w:highlight w:val="yellow"/>
              </w:rPr>
              <w:t> 785,26</w:t>
            </w:r>
            <w:r w:rsidR="00CB22CB" w:rsidRPr="00563443">
              <w:rPr>
                <w:szCs w:val="22"/>
                <w:highlight w:val="yellow"/>
              </w:rPr>
              <w:t xml:space="preserve">  </w:t>
            </w:r>
            <w:r w:rsidRPr="00563443">
              <w:rPr>
                <w:szCs w:val="22"/>
                <w:highlight w:val="yellow"/>
              </w:rPr>
              <w:t>руб.;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– </w:t>
            </w:r>
            <w:r w:rsidR="00F7503D" w:rsidRPr="00F7503D">
              <w:rPr>
                <w:szCs w:val="22"/>
                <w:highlight w:val="yellow"/>
              </w:rPr>
              <w:t>1 184 061,65</w:t>
            </w:r>
            <w:r w:rsidR="00CB22CB" w:rsidRPr="00F7503D">
              <w:rPr>
                <w:szCs w:val="22"/>
                <w:highlight w:val="yellow"/>
              </w:rPr>
              <w:t xml:space="preserve"> </w:t>
            </w:r>
            <w:r w:rsidRPr="00F7503D">
              <w:rPr>
                <w:szCs w:val="22"/>
                <w:highlight w:val="yellow"/>
              </w:rPr>
              <w:t xml:space="preserve"> руб.;</w:t>
            </w:r>
          </w:p>
          <w:p w:rsidR="00A054B1" w:rsidRPr="00E346B0" w:rsidRDefault="00A054B1" w:rsidP="00E346B0">
            <w:pPr>
              <w:keepNext/>
              <w:autoSpaceDE w:val="0"/>
              <w:autoSpaceDN w:val="0"/>
              <w:adjustRightInd w:val="0"/>
              <w:jc w:val="both"/>
            </w:pPr>
          </w:p>
          <w:p w:rsidR="001C2904" w:rsidRPr="000D7A55" w:rsidRDefault="001C2904" w:rsidP="00E346B0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6B0">
              <w:rPr>
                <w:szCs w:val="22"/>
              </w:rPr>
              <w:lastRenderedPageBreak/>
              <w:t xml:space="preserve">- </w:t>
            </w:r>
            <w:r w:rsidRPr="00E346B0">
              <w:rPr>
                <w:i/>
                <w:szCs w:val="22"/>
                <w:u w:val="single"/>
              </w:rPr>
              <w:t xml:space="preserve">средства бюджета МО </w:t>
            </w:r>
            <w:r w:rsidRPr="00E346B0">
              <w:rPr>
                <w:szCs w:val="22"/>
              </w:rPr>
              <w:t xml:space="preserve">Балакирево </w:t>
            </w:r>
            <w:r w:rsidR="00F7503D" w:rsidRPr="00F7503D">
              <w:rPr>
                <w:b/>
                <w:szCs w:val="22"/>
                <w:highlight w:val="yellow"/>
              </w:rPr>
              <w:t>2 256 929,86</w:t>
            </w:r>
            <w:r w:rsidR="00F7503D" w:rsidRPr="00F75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 </w:t>
            </w:r>
            <w:r w:rsidRPr="00E346B0">
              <w:rPr>
                <w:szCs w:val="22"/>
              </w:rPr>
              <w:t>руб.; в том числе по годам: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="00CB22CB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A054B1" w:rsidRPr="00E346B0">
              <w:rPr>
                <w:rFonts w:ascii="Times New Roman" w:hAnsi="Times New Roman" w:cs="Times New Roman"/>
                <w:sz w:val="24"/>
                <w:szCs w:val="22"/>
              </w:rPr>
              <w:t>43 001,50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="00F7503D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1 718 322,29</w:t>
            </w:r>
            <w:r w:rsidR="000D7A55" w:rsidRPr="00F7503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>.;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="00900A37" w:rsidRPr="00E346B0">
              <w:rPr>
                <w:szCs w:val="22"/>
              </w:rPr>
              <w:t xml:space="preserve"> – </w:t>
            </w:r>
            <w:r w:rsidR="00F7503D">
              <w:rPr>
                <w:szCs w:val="22"/>
                <w:highlight w:val="yellow"/>
              </w:rPr>
              <w:t>217 863,21 руб</w:t>
            </w:r>
            <w:r w:rsidRPr="00894D6F">
              <w:rPr>
                <w:szCs w:val="22"/>
                <w:highlight w:val="yellow"/>
              </w:rPr>
              <w:t>.;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2022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 </w:t>
            </w:r>
            <w:r w:rsidR="00F7503D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277 742,86</w:t>
            </w:r>
            <w:r w:rsidR="00900A37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руб.;</w:t>
            </w:r>
          </w:p>
          <w:p w:rsidR="00A054B1" w:rsidRPr="00E346B0" w:rsidRDefault="00A054B1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Итого: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2019 год</w:t>
            </w:r>
            <w:r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–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="006E14BE" w:rsidRPr="00E346B0">
              <w:rPr>
                <w:rFonts w:ascii="Times New Roman" w:hAnsi="Times New Roman" w:cs="Times New Roman"/>
                <w:sz w:val="24"/>
                <w:szCs w:val="22"/>
              </w:rPr>
              <w:t>2 364 200,32</w:t>
            </w:r>
            <w:r w:rsidR="008C5AA2" w:rsidRPr="00E346B0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руб.;  </w:t>
            </w:r>
          </w:p>
          <w:p w:rsidR="001C2904" w:rsidRPr="00E346B0" w:rsidRDefault="001C2904" w:rsidP="00E346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/>
                <w:sz w:val="24"/>
                <w:szCs w:val="22"/>
                <w:u w:val="single"/>
              </w:rPr>
              <w:t>2020 год</w:t>
            </w:r>
            <w:r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–</w:t>
            </w:r>
            <w:r w:rsidR="00900A37" w:rsidRPr="00E346B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F7503D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3 702 064,69</w:t>
            </w:r>
            <w:r w:rsidR="00900A37"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 </w:t>
            </w:r>
            <w:r w:rsidRPr="00F7503D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2021 год</w:t>
            </w:r>
            <w:r w:rsidRPr="00E346B0">
              <w:rPr>
                <w:szCs w:val="22"/>
              </w:rPr>
              <w:t xml:space="preserve"> –</w:t>
            </w:r>
            <w:r w:rsidR="00900A37" w:rsidRPr="00E346B0">
              <w:rPr>
                <w:szCs w:val="22"/>
              </w:rPr>
              <w:t xml:space="preserve"> </w:t>
            </w:r>
            <w:r w:rsidR="008C5AA2" w:rsidRPr="00894D6F">
              <w:rPr>
                <w:szCs w:val="22"/>
                <w:highlight w:val="yellow"/>
              </w:rPr>
              <w:t>1</w:t>
            </w:r>
            <w:r w:rsidR="00F7503D">
              <w:rPr>
                <w:szCs w:val="22"/>
                <w:highlight w:val="yellow"/>
              </w:rPr>
              <w:t> 146 648,47</w:t>
            </w:r>
            <w:r w:rsidR="008C5AA2" w:rsidRPr="00894D6F">
              <w:rPr>
                <w:szCs w:val="22"/>
                <w:highlight w:val="yellow"/>
              </w:rPr>
              <w:t xml:space="preserve"> </w:t>
            </w:r>
            <w:r w:rsidRPr="00894D6F">
              <w:rPr>
                <w:szCs w:val="22"/>
                <w:highlight w:val="yellow"/>
              </w:rPr>
              <w:t>руб.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</w:pPr>
            <w:r w:rsidRPr="00E346B0">
              <w:rPr>
                <w:b/>
                <w:szCs w:val="22"/>
                <w:u w:val="single"/>
              </w:rPr>
              <w:t>2022 год</w:t>
            </w:r>
            <w:r w:rsidRPr="00E346B0">
              <w:rPr>
                <w:szCs w:val="22"/>
              </w:rPr>
              <w:t xml:space="preserve"> </w:t>
            </w:r>
            <w:r w:rsidR="00900A37" w:rsidRPr="00E346B0">
              <w:rPr>
                <w:szCs w:val="22"/>
              </w:rPr>
              <w:t xml:space="preserve"> - </w:t>
            </w:r>
            <w:r w:rsidR="00F7503D" w:rsidRPr="00F7503D">
              <w:rPr>
                <w:szCs w:val="22"/>
                <w:highlight w:val="yellow"/>
              </w:rPr>
              <w:t xml:space="preserve">1 </w:t>
            </w:r>
            <w:r w:rsidR="00F7503D">
              <w:rPr>
                <w:szCs w:val="22"/>
                <w:highlight w:val="yellow"/>
              </w:rPr>
              <w:t>4</w:t>
            </w:r>
            <w:r w:rsidR="00F7503D" w:rsidRPr="00F7503D">
              <w:rPr>
                <w:szCs w:val="22"/>
                <w:highlight w:val="yellow"/>
              </w:rPr>
              <w:t>61 804,51</w:t>
            </w:r>
            <w:r w:rsidR="00900A37" w:rsidRPr="00F7503D">
              <w:rPr>
                <w:szCs w:val="22"/>
                <w:highlight w:val="yellow"/>
              </w:rPr>
              <w:t xml:space="preserve"> </w:t>
            </w:r>
            <w:r w:rsidRPr="00F7503D">
              <w:rPr>
                <w:szCs w:val="22"/>
                <w:highlight w:val="yellow"/>
              </w:rPr>
              <w:t>руб.</w:t>
            </w:r>
          </w:p>
          <w:p w:rsidR="006E14BE" w:rsidRPr="00E346B0" w:rsidRDefault="006E14BE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346B0">
              <w:rPr>
                <w:rFonts w:eastAsiaTheme="minorHAnsi"/>
                <w:b/>
                <w:szCs w:val="22"/>
                <w:lang w:eastAsia="en-US"/>
              </w:rPr>
              <w:t>Финансовыми источниками Программы являются: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федерального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областного бюджета;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- средства МО Балакирево</w:t>
            </w: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1C2904" w:rsidRPr="00E346B0" w:rsidRDefault="001C2904" w:rsidP="00E346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346B0">
              <w:rPr>
                <w:rFonts w:eastAsiaTheme="minorHAnsi"/>
                <w:szCs w:val="22"/>
                <w:lang w:eastAsia="en-US"/>
              </w:rPr>
              <w:t>Объемы и источники  финансирования ежегодно  уточняются при формировании бюджетов разных уровней на соответствующий год.</w:t>
            </w:r>
          </w:p>
        </w:tc>
      </w:tr>
      <w:tr w:rsidR="001C2904" w:rsidRPr="00E346B0" w:rsidTr="00FA2023">
        <w:tc>
          <w:tcPr>
            <w:tcW w:w="2943" w:type="dxa"/>
            <w:vAlign w:val="bottom"/>
          </w:tcPr>
          <w:p w:rsidR="001C2904" w:rsidRPr="00E346B0" w:rsidRDefault="001C2904" w:rsidP="00E346B0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lastRenderedPageBreak/>
              <w:t>Администратор муниципальной программы</w:t>
            </w:r>
          </w:p>
        </w:tc>
        <w:tc>
          <w:tcPr>
            <w:tcW w:w="7513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2"/>
                <w:shd w:val="clear" w:color="auto" w:fill="FFFFFF"/>
                <w:lang w:eastAsia="ru-RU" w:bidi="ru-RU"/>
              </w:rPr>
            </w:pPr>
            <w:r w:rsidRPr="00E346B0">
              <w:rPr>
                <w:rStyle w:val="11"/>
                <w:rFonts w:eastAsiaTheme="minorHAnsi"/>
                <w:sz w:val="24"/>
                <w:szCs w:val="22"/>
              </w:rPr>
              <w:t>Администрация поселка Балакирево</w:t>
            </w:r>
          </w:p>
        </w:tc>
      </w:tr>
      <w:tr w:rsidR="001C2904" w:rsidRPr="00E346B0" w:rsidTr="00FA2023">
        <w:tc>
          <w:tcPr>
            <w:tcW w:w="2943" w:type="dxa"/>
            <w:vAlign w:val="bottom"/>
          </w:tcPr>
          <w:p w:rsidR="001C2904" w:rsidRPr="00900FED" w:rsidRDefault="001C2904" w:rsidP="00E346B0">
            <w:r w:rsidRPr="00900FED">
              <w:rPr>
                <w:szCs w:val="22"/>
              </w:rPr>
              <w:t>Ожидаемые конечные результаты реализации</w:t>
            </w:r>
          </w:p>
          <w:p w:rsidR="001C2904" w:rsidRPr="00900FED" w:rsidRDefault="001C2904" w:rsidP="00E346B0"/>
        </w:tc>
        <w:tc>
          <w:tcPr>
            <w:tcW w:w="7513" w:type="dxa"/>
            <w:vAlign w:val="bottom"/>
          </w:tcPr>
          <w:p w:rsidR="001C2904" w:rsidRPr="00900FED" w:rsidRDefault="001C2904" w:rsidP="00900FED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>Обеспечение населения жилыми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E346B0">
              <w:rPr>
                <w:rStyle w:val="2"/>
                <w:rFonts w:eastAsiaTheme="minorHAnsi"/>
                <w:sz w:val="24"/>
                <w:szCs w:val="22"/>
                <w:u w:val="none"/>
              </w:rPr>
              <w:t>илищного фонда</w:t>
            </w:r>
            <w:r w:rsidRPr="00E346B0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</w:t>
            </w: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FA2023">
      <w:pPr>
        <w:pStyle w:val="31"/>
        <w:shd w:val="clear" w:color="auto" w:fill="auto"/>
        <w:spacing w:before="0" w:after="0" w:line="324" w:lineRule="exact"/>
        <w:ind w:left="40" w:right="4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  <w:r w:rsidR="00FA20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  <w:r w:rsidR="00FA20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Основными причинами возникновения непригодного для проживания жилья являются: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естественное старение зданий;</w:t>
      </w:r>
    </w:p>
    <w:p w:rsidR="001C2904" w:rsidRPr="001C2904" w:rsidRDefault="001C2904" w:rsidP="006A2A68">
      <w:pPr>
        <w:pStyle w:val="31"/>
        <w:numPr>
          <w:ilvl w:val="0"/>
          <w:numId w:val="10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b w:val="0"/>
          <w:sz w:val="28"/>
          <w:szCs w:val="28"/>
        </w:rPr>
      </w:pPr>
      <w:r w:rsidRPr="006A2A68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6A2A68">
        <w:rPr>
          <w:rStyle w:val="2pt"/>
          <w:rFonts w:eastAsiaTheme="minorHAnsi"/>
          <w:b/>
          <w:sz w:val="28"/>
          <w:szCs w:val="28"/>
        </w:rPr>
        <w:t>40-50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9C28E9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01.0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.2020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 xml:space="preserve">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EE09DB">
      <w:pPr>
        <w:pStyle w:val="31"/>
        <w:shd w:val="clear" w:color="auto" w:fill="auto"/>
        <w:spacing w:before="0" w:after="240" w:line="324" w:lineRule="exact"/>
        <w:ind w:left="23" w:right="23"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lastRenderedPageBreak/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ческие, социальные и организационные предпосылки для решения жилищной проблемы.</w:t>
      </w:r>
    </w:p>
    <w:p w:rsidR="001C2904" w:rsidRPr="001C2904" w:rsidRDefault="001C2904" w:rsidP="006A2A68">
      <w:pPr>
        <w:pStyle w:val="31"/>
        <w:shd w:val="clear" w:color="auto" w:fill="auto"/>
        <w:spacing w:before="0" w:after="0" w:line="324" w:lineRule="exact"/>
        <w:ind w:left="20" w:right="20" w:firstLine="689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426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900FED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26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FA2023" w:rsidRDefault="001C2904" w:rsidP="00900FED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</w:t>
      </w:r>
      <w:r w:rsidR="00E80AB5">
        <w:rPr>
          <w:rFonts w:ascii="Times New Roman" w:hAnsi="Times New Roman" w:cs="Times New Roman"/>
          <w:b w:val="0"/>
          <w:sz w:val="28"/>
          <w:szCs w:val="28"/>
        </w:rPr>
        <w:t>2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FA2023" w:rsidRDefault="00FA2023">
      <w:pPr>
        <w:spacing w:after="200" w:line="276" w:lineRule="auto"/>
        <w:rPr>
          <w:rFonts w:eastAsiaTheme="minorHAnsi"/>
          <w:bCs/>
          <w:spacing w:val="-6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lastRenderedPageBreak/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6A2A68">
      <w:pPr>
        <w:pStyle w:val="31"/>
        <w:shd w:val="clear" w:color="auto" w:fill="auto"/>
        <w:spacing w:before="0" w:after="0" w:line="322" w:lineRule="exact"/>
        <w:ind w:lef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изъятии жилого помещения у собственников жилых помещений путем выкупа;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900FED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84" w:right="20" w:hanging="284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88143A" w:rsidRDefault="00462218" w:rsidP="00900FED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2166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счет средств  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корпорации «</w:t>
            </w: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Фонда</w:t>
            </w:r>
            <w:r w:rsidR="00CB22CB"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счет средств местного бюджета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166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1 671 300,32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1 637 874,31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25 069,51</w:t>
            </w:r>
          </w:p>
        </w:tc>
        <w:tc>
          <w:tcPr>
            <w:tcW w:w="1994" w:type="dxa"/>
          </w:tcPr>
          <w:p w:rsidR="001A2549" w:rsidRPr="00EE09DB" w:rsidRDefault="00DC267F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8 356,50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A2549" w:rsidRPr="00EE09DB" w:rsidTr="001A2549">
        <w:tc>
          <w:tcPr>
            <w:tcW w:w="2134" w:type="dxa"/>
          </w:tcPr>
          <w:p w:rsidR="001A2549" w:rsidRPr="00EE09DB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2166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94" w:type="dxa"/>
          </w:tcPr>
          <w:p w:rsidR="001A2549" w:rsidRPr="00EE09DB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9D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tbl>
      <w:tblPr>
        <w:tblStyle w:val="a3"/>
        <w:tblW w:w="9648" w:type="dxa"/>
        <w:tblInd w:w="108" w:type="dxa"/>
        <w:tblLook w:val="04A0"/>
      </w:tblPr>
      <w:tblGrid>
        <w:gridCol w:w="1698"/>
        <w:gridCol w:w="1985"/>
        <w:gridCol w:w="3413"/>
        <w:gridCol w:w="2552"/>
      </w:tblGrid>
      <w:tr w:rsidR="009C7B65" w:rsidTr="00900FED">
        <w:tc>
          <w:tcPr>
            <w:tcW w:w="1698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3413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2552" w:type="dxa"/>
          </w:tcPr>
          <w:p w:rsidR="009C7B65" w:rsidRDefault="009C7B65" w:rsidP="00900FED">
            <w:pPr>
              <w:pStyle w:val="31"/>
              <w:shd w:val="clear" w:color="auto" w:fill="auto"/>
              <w:spacing w:before="0" w:after="0" w:line="322" w:lineRule="exact"/>
              <w:ind w:right="2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E77A0F" w:rsidRPr="008944DB" w:rsidTr="00900FED">
        <w:tc>
          <w:tcPr>
            <w:tcW w:w="1698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</w:tcPr>
          <w:p w:rsidR="00E77A0F" w:rsidRDefault="00E77A0F" w:rsidP="00E77A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683 324,51   </w:t>
            </w:r>
          </w:p>
        </w:tc>
        <w:tc>
          <w:tcPr>
            <w:tcW w:w="3413" w:type="dxa"/>
          </w:tcPr>
          <w:p w:rsidR="00E77A0F" w:rsidRDefault="00E77A0F" w:rsidP="00E77A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658255,00</w:t>
            </w:r>
          </w:p>
        </w:tc>
        <w:tc>
          <w:tcPr>
            <w:tcW w:w="2552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25283,01</w:t>
            </w:r>
          </w:p>
        </w:tc>
      </w:tr>
      <w:tr w:rsidR="00E77A0F" w:rsidRPr="008944DB" w:rsidTr="00900FED">
        <w:tc>
          <w:tcPr>
            <w:tcW w:w="1698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E77A0F" w:rsidRPr="00E77A0F" w:rsidRDefault="00E77A0F">
            <w:pPr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3702064,69</w:t>
            </w:r>
          </w:p>
        </w:tc>
        <w:tc>
          <w:tcPr>
            <w:tcW w:w="3413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1 983 742,40</w:t>
            </w:r>
          </w:p>
        </w:tc>
        <w:tc>
          <w:tcPr>
            <w:tcW w:w="2552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1</w:t>
            </w:r>
            <w:r>
              <w:rPr>
                <w:color w:val="000000"/>
                <w:sz w:val="28"/>
                <w:szCs w:val="28"/>
                <w:highlight w:val="yellow"/>
              </w:rPr>
              <w:t> </w:t>
            </w:r>
            <w:r w:rsidRPr="00E77A0F">
              <w:rPr>
                <w:color w:val="000000"/>
                <w:sz w:val="28"/>
                <w:szCs w:val="28"/>
                <w:highlight w:val="yellow"/>
              </w:rPr>
              <w:t>718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77A0F">
              <w:rPr>
                <w:color w:val="000000"/>
                <w:sz w:val="28"/>
                <w:szCs w:val="28"/>
                <w:highlight w:val="yellow"/>
              </w:rPr>
              <w:t>322,29</w:t>
            </w:r>
          </w:p>
        </w:tc>
      </w:tr>
      <w:tr w:rsidR="00E77A0F" w:rsidRPr="008944DB" w:rsidTr="00900FED">
        <w:tc>
          <w:tcPr>
            <w:tcW w:w="1698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85" w:type="dxa"/>
          </w:tcPr>
          <w:p w:rsidR="00E77A0F" w:rsidRPr="00E77A0F" w:rsidRDefault="00E77A0F">
            <w:pPr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1146648,47</w:t>
            </w:r>
          </w:p>
        </w:tc>
        <w:tc>
          <w:tcPr>
            <w:tcW w:w="3413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928 785,26</w:t>
            </w:r>
          </w:p>
        </w:tc>
        <w:tc>
          <w:tcPr>
            <w:tcW w:w="2552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217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77A0F">
              <w:rPr>
                <w:color w:val="000000"/>
                <w:sz w:val="28"/>
                <w:szCs w:val="28"/>
                <w:highlight w:val="yellow"/>
              </w:rPr>
              <w:t>863,21</w:t>
            </w:r>
          </w:p>
        </w:tc>
      </w:tr>
      <w:tr w:rsidR="00E77A0F" w:rsidRPr="008944DB" w:rsidTr="00900FED">
        <w:tc>
          <w:tcPr>
            <w:tcW w:w="1698" w:type="dxa"/>
          </w:tcPr>
          <w:p w:rsidR="00E77A0F" w:rsidRDefault="00E77A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E77A0F" w:rsidRPr="00E77A0F" w:rsidRDefault="00E77A0F">
            <w:pPr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1461804,51</w:t>
            </w:r>
          </w:p>
        </w:tc>
        <w:tc>
          <w:tcPr>
            <w:tcW w:w="3413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1 184 061,65</w:t>
            </w:r>
          </w:p>
        </w:tc>
        <w:tc>
          <w:tcPr>
            <w:tcW w:w="2552" w:type="dxa"/>
          </w:tcPr>
          <w:p w:rsidR="00E77A0F" w:rsidRPr="00E77A0F" w:rsidRDefault="00E77A0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77A0F">
              <w:rPr>
                <w:color w:val="000000"/>
                <w:sz w:val="28"/>
                <w:szCs w:val="28"/>
                <w:highlight w:val="yellow"/>
              </w:rPr>
              <w:t>277</w:t>
            </w:r>
            <w:r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77A0F">
              <w:rPr>
                <w:color w:val="000000"/>
                <w:sz w:val="28"/>
                <w:szCs w:val="28"/>
                <w:highlight w:val="yellow"/>
              </w:rPr>
              <w:t>742,86</w:t>
            </w:r>
          </w:p>
        </w:tc>
      </w:tr>
    </w:tbl>
    <w:p w:rsidR="00462218" w:rsidRDefault="00462218" w:rsidP="001C2904">
      <w:pPr>
        <w:jc w:val="center"/>
        <w:rPr>
          <w:b/>
          <w:sz w:val="28"/>
        </w:rPr>
      </w:pPr>
    </w:p>
    <w:p w:rsidR="001C2904" w:rsidRPr="00EE09DB" w:rsidRDefault="001C2904" w:rsidP="00EE09DB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lastRenderedPageBreak/>
        <w:t>Ресурсы, необходимые для реализации мероприятий муниципальной программы</w:t>
      </w: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tbl>
      <w:tblPr>
        <w:tblW w:w="10480" w:type="dxa"/>
        <w:tblInd w:w="95" w:type="dxa"/>
        <w:tblLook w:val="04A0"/>
      </w:tblPr>
      <w:tblGrid>
        <w:gridCol w:w="1917"/>
        <w:gridCol w:w="1764"/>
        <w:gridCol w:w="2079"/>
        <w:gridCol w:w="1429"/>
        <w:gridCol w:w="1541"/>
        <w:gridCol w:w="1750"/>
      </w:tblGrid>
      <w:tr w:rsidR="00E77A0F" w:rsidRPr="00E77A0F" w:rsidTr="00AC1FAB">
        <w:trPr>
          <w:trHeight w:val="300"/>
        </w:trPr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color w:val="000000"/>
                <w:sz w:val="21"/>
                <w:szCs w:val="21"/>
              </w:rPr>
            </w:pPr>
            <w:r w:rsidRPr="00E77A0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Годы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color w:val="000000"/>
                <w:sz w:val="21"/>
                <w:szCs w:val="21"/>
              </w:rPr>
            </w:pPr>
            <w:r w:rsidRPr="00E77A0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77A0F" w:rsidRPr="00E77A0F" w:rsidTr="00AC1FAB">
        <w:trPr>
          <w:trHeight w:val="182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Всего за период</w:t>
            </w:r>
          </w:p>
        </w:tc>
      </w:tr>
      <w:tr w:rsidR="00E77A0F" w:rsidRPr="00E77A0F" w:rsidTr="00AC1FAB">
        <w:trPr>
          <w:trHeight w:val="199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реализации</w:t>
            </w:r>
          </w:p>
        </w:tc>
      </w:tr>
      <w:tr w:rsidR="00E77A0F" w:rsidRPr="00E77A0F" w:rsidTr="00AC1FAB">
        <w:trPr>
          <w:trHeight w:val="218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муниципальной</w:t>
            </w:r>
          </w:p>
        </w:tc>
      </w:tr>
      <w:tr w:rsidR="00E77A0F" w:rsidRPr="00E77A0F" w:rsidTr="00AC1FAB">
        <w:trPr>
          <w:trHeight w:val="300"/>
        </w:trPr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программы</w:t>
            </w:r>
          </w:p>
        </w:tc>
      </w:tr>
      <w:tr w:rsidR="00E77A0F" w:rsidRPr="00E77A0F" w:rsidTr="00AC1FAB">
        <w:trPr>
          <w:trHeight w:val="564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1 637 874,31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>1 637 874,31</w:t>
            </w:r>
          </w:p>
        </w:tc>
      </w:tr>
      <w:tr w:rsidR="00E77A0F" w:rsidRPr="00E77A0F" w:rsidTr="00AC1FAB">
        <w:trPr>
          <w:trHeight w:val="564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683 324,51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AC1FAB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>1 983 742,40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928 785,26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1 184 061,65   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>4 779 913,82</w:t>
            </w:r>
          </w:p>
        </w:tc>
      </w:tr>
      <w:tr w:rsidR="00E77A0F" w:rsidRPr="00E77A0F" w:rsidTr="00AC1FAB">
        <w:trPr>
          <w:trHeight w:val="564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Бюджет МО Балакирево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AC1F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43 001,50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AC1FAB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>1 718 322,29</w:t>
            </w:r>
            <w:r w:rsidR="00E77A0F"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217 863,21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277 742,86   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>2 256 929,86</w:t>
            </w:r>
          </w:p>
        </w:tc>
      </w:tr>
      <w:tr w:rsidR="00E77A0F" w:rsidRPr="00E77A0F" w:rsidTr="00AC1FAB">
        <w:trPr>
          <w:trHeight w:val="300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7A0F" w:rsidRPr="00E77A0F" w:rsidRDefault="00E77A0F" w:rsidP="00E77A0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7A0F">
              <w:rPr>
                <w:b/>
                <w:bCs/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E77A0F" w:rsidRDefault="00E77A0F" w:rsidP="00E77A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7A0F">
              <w:rPr>
                <w:b/>
                <w:bCs/>
                <w:color w:val="000000"/>
                <w:sz w:val="20"/>
                <w:szCs w:val="20"/>
              </w:rPr>
              <w:t xml:space="preserve">2 364 200,32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3 702 064,69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1 146 648,47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E77A0F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1 461 804,51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A0F" w:rsidRPr="00AC1FAB" w:rsidRDefault="00E77A0F" w:rsidP="00AC1FA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C1FAB">
              <w:rPr>
                <w:b/>
                <w:bCs/>
                <w:color w:val="000000"/>
                <w:sz w:val="20"/>
                <w:szCs w:val="20"/>
                <w:highlight w:val="yellow"/>
              </w:rPr>
              <w:t>8 674 717,99</w:t>
            </w:r>
          </w:p>
        </w:tc>
      </w:tr>
    </w:tbl>
    <w:p w:rsidR="00E77A0F" w:rsidRDefault="00E77A0F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462218" w:rsidRPr="005D42D4" w:rsidRDefault="00462218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  <w:r w:rsidR="00CA380F">
        <w:rPr>
          <w:rFonts w:eastAsiaTheme="minorHAnsi"/>
          <w:sz w:val="28"/>
          <w:lang w:eastAsia="en-US"/>
        </w:rPr>
        <w:t>;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6A2A68" w:rsidRPr="00160972" w:rsidRDefault="0046221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  <w:r w:rsidR="00160972">
        <w:rPr>
          <w:rFonts w:eastAsiaTheme="minorHAnsi"/>
          <w:sz w:val="28"/>
          <w:lang w:eastAsia="en-US"/>
        </w:rPr>
        <w:t xml:space="preserve"> ( в т.ч.  </w:t>
      </w:r>
      <w:r w:rsidR="00160972">
        <w:rPr>
          <w:sz w:val="28"/>
          <w:szCs w:val="28"/>
        </w:rPr>
        <w:t>иных межбюджетные трансферты из бюджета Александровского района).</w:t>
      </w:r>
    </w:p>
    <w:p w:rsidR="006A2A68" w:rsidRPr="00160972" w:rsidRDefault="006A2A68" w:rsidP="00462218">
      <w:pPr>
        <w:autoSpaceDE w:val="0"/>
        <w:autoSpaceDN w:val="0"/>
        <w:adjustRightInd w:val="0"/>
        <w:rPr>
          <w:rFonts w:eastAsiaTheme="minorHAnsi"/>
          <w:b/>
          <w:sz w:val="28"/>
          <w:lang w:eastAsia="en-US"/>
        </w:rPr>
      </w:pPr>
    </w:p>
    <w:p w:rsidR="00462218" w:rsidRPr="00F602E8" w:rsidRDefault="00462218" w:rsidP="006A2A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900FED">
      <w:pPr>
        <w:pStyle w:val="31"/>
        <w:shd w:val="clear" w:color="auto" w:fill="auto"/>
        <w:spacing w:before="0" w:after="0" w:line="324" w:lineRule="exact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900FED" w:rsidP="00900FED">
      <w:pPr>
        <w:pStyle w:val="31"/>
        <w:numPr>
          <w:ilvl w:val="0"/>
          <w:numId w:val="11"/>
        </w:numPr>
        <w:shd w:val="clear" w:color="auto" w:fill="auto"/>
        <w:spacing w:before="0" w:after="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04" w:rsidRPr="001C290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E09DB" w:rsidRDefault="001C2904" w:rsidP="00900FED">
      <w:pPr>
        <w:pStyle w:val="31"/>
        <w:numPr>
          <w:ilvl w:val="0"/>
          <w:numId w:val="11"/>
        </w:numPr>
        <w:shd w:val="clear" w:color="auto" w:fill="auto"/>
        <w:spacing w:before="0" w:after="120" w:line="324" w:lineRule="exact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6A2A68">
      <w:pPr>
        <w:ind w:firstLine="567"/>
        <w:jc w:val="both"/>
        <w:rPr>
          <w:sz w:val="28"/>
          <w:szCs w:val="28"/>
        </w:rPr>
      </w:pPr>
      <w:r w:rsidRPr="000B53BD">
        <w:rPr>
          <w:sz w:val="28"/>
          <w:szCs w:val="28"/>
        </w:rPr>
        <w:t>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6A2A68">
      <w:pPr>
        <w:ind w:firstLine="567"/>
        <w:jc w:val="both"/>
        <w:rPr>
          <w:sz w:val="28"/>
          <w:szCs w:val="28"/>
        </w:rPr>
      </w:pP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6A2A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BE04AB">
      <w:pPr>
        <w:ind w:firstLine="567"/>
        <w:jc w:val="both"/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0F" w:rsidRDefault="00CA380F">
      <w:pPr>
        <w:spacing w:after="200"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CA380F" w:rsidRPr="00297A46" w:rsidRDefault="00CA380F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6A2A68">
      <w:pPr>
        <w:ind w:firstLine="567"/>
        <w:jc w:val="both"/>
        <w:rPr>
          <w:sz w:val="28"/>
          <w:szCs w:val="28"/>
        </w:rPr>
      </w:pP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CA380F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 xml:space="preserve">9. ЦЕЛЕВЫЕ ПОКАЗАТЕЛИ    </w:t>
      </w:r>
    </w:p>
    <w:p w:rsidR="00CA380F" w:rsidRPr="008944DB" w:rsidRDefault="00CA380F" w:rsidP="00CA380F">
      <w:pPr>
        <w:pStyle w:val="31"/>
        <w:shd w:val="clear" w:color="auto" w:fill="auto"/>
        <w:spacing w:before="0" w:after="0" w:line="317" w:lineRule="exact"/>
        <w:ind w:left="142" w:right="-13" w:firstLine="0"/>
        <w:jc w:val="center"/>
        <w:rPr>
          <w:rFonts w:ascii="Times New Roman" w:hAnsi="Times New Roman" w:cs="Times New Roman"/>
        </w:rPr>
      </w:pPr>
      <w:r w:rsidRPr="008944DB">
        <w:rPr>
          <w:rFonts w:ascii="Times New Roman" w:hAnsi="Times New Roman" w:cs="Times New Roman"/>
        </w:rPr>
        <w:t>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  <w:r w:rsidR="00EC3663">
        <w:rPr>
          <w:rFonts w:ascii="Times New Roman" w:hAnsi="Times New Roman" w:cs="Times New Roman"/>
        </w:rPr>
        <w:t xml:space="preserve"> на период 2019 - 2022</w:t>
      </w:r>
    </w:p>
    <w:p w:rsidR="001C2904" w:rsidRDefault="001C2904" w:rsidP="001C2904"/>
    <w:p w:rsidR="001C2904" w:rsidRDefault="001C2904" w:rsidP="001C2904"/>
    <w:p w:rsidR="001C2904" w:rsidRDefault="001C2904" w:rsidP="001C2904"/>
    <w:tbl>
      <w:tblPr>
        <w:tblW w:w="104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951"/>
        <w:gridCol w:w="1134"/>
        <w:gridCol w:w="1418"/>
        <w:gridCol w:w="1253"/>
        <w:gridCol w:w="1098"/>
        <w:gridCol w:w="1225"/>
        <w:gridCol w:w="938"/>
      </w:tblGrid>
      <w:tr w:rsidR="00CA380F" w:rsidRPr="00CA380F" w:rsidTr="00CA380F">
        <w:trPr>
          <w:trHeight w:hRule="exact" w:val="683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6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ArialNarrow105pt0pt"/>
                <w:rFonts w:ascii="Times New Roman" w:hAnsi="Times New Roman" w:cs="Times New Roman"/>
              </w:rPr>
              <w:t>№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60" w:after="0" w:line="21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12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Наименование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right="6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 xml:space="preserve">  Едини</w:t>
            </w:r>
            <w:r w:rsidRPr="00CA380F">
              <w:rPr>
                <w:rStyle w:val="11pt0pt"/>
                <w:rFonts w:eastAsiaTheme="minorHAnsi"/>
              </w:rPr>
              <w:softHyphen/>
              <w:t>ца</w:t>
            </w:r>
            <w:r w:rsidRPr="00CA380F">
              <w:rPr>
                <w:rFonts w:ascii="Times New Roman" w:hAnsi="Times New Roman" w:cs="Times New Roman"/>
              </w:rPr>
              <w:t xml:space="preserve"> </w:t>
            </w:r>
            <w:r w:rsidRPr="00CA380F">
              <w:rPr>
                <w:rStyle w:val="11pt0pt"/>
                <w:rFonts w:eastAsiaTheme="minorHAnsi"/>
              </w:rPr>
              <w:t>измерения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 xml:space="preserve">Планируемое значение показателей 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81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(на очередной финансовый год и плановый период)</w:t>
            </w:r>
          </w:p>
        </w:tc>
      </w:tr>
      <w:tr w:rsidR="00CA380F" w:rsidRPr="00CA380F" w:rsidTr="00CA380F">
        <w:trPr>
          <w:trHeight w:hRule="exact" w:val="39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2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2022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120" w:after="0"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ВСЕГО</w:t>
            </w:r>
          </w:p>
        </w:tc>
      </w:tr>
      <w:tr w:rsidR="00CA380F" w:rsidRPr="00CA380F" w:rsidTr="00CA380F">
        <w:trPr>
          <w:trHeight w:hRule="exact" w:val="55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66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Цель муниципальной программы: обеспечение стандартов качества жилищных условий и создание безопасных условий проживания граждан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для</w:t>
            </w:r>
          </w:p>
        </w:tc>
      </w:tr>
      <w:tr w:rsidR="00CA380F" w:rsidRPr="00CA380F" w:rsidTr="00AC1FAB">
        <w:trPr>
          <w:trHeight w:hRule="exact" w:val="5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1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жилых помещений, необходимых для переселения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AC1FAB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AC1FAB">
              <w:rPr>
                <w:rFonts w:ascii="Times New Roman" w:hAnsi="Times New Roman" w:cs="Times New Roman"/>
                <w:b w:val="0"/>
                <w:highlight w:val="yellow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80F" w:rsidRPr="00EC3663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EC3663" w:rsidRDefault="00EC3663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EC3663" w:rsidRDefault="00CA380F" w:rsidP="00EC3663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  <w:r w:rsidR="00EC3663" w:rsidRPr="00EC3663">
              <w:rPr>
                <w:rFonts w:ascii="Times New Roman" w:hAnsi="Times New Roman" w:cs="Times New Roman"/>
                <w:b w:val="0"/>
                <w:highlight w:val="yellow"/>
              </w:rPr>
              <w:t>0</w:t>
            </w:r>
          </w:p>
        </w:tc>
      </w:tr>
      <w:tr w:rsidR="00CA380F" w:rsidRPr="00CA380F" w:rsidTr="00AC1FAB">
        <w:trPr>
          <w:trHeight w:hRule="exact" w:val="5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чел.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9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AC1FAB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5E3335">
              <w:rPr>
                <w:rFonts w:ascii="Times New Roman" w:hAnsi="Times New Roman" w:cs="Times New Roman"/>
                <w:b w:val="0"/>
                <w:highlight w:val="yellow"/>
              </w:rPr>
              <w:t>1</w:t>
            </w:r>
            <w:r w:rsidR="00AC1FA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80F" w:rsidRPr="00EC3663" w:rsidRDefault="00EC3663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80F" w:rsidRPr="00EC3663" w:rsidRDefault="00EC3663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EC3663" w:rsidRDefault="005E3335" w:rsidP="00EC3663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EC3663">
              <w:rPr>
                <w:rFonts w:ascii="Times New Roman" w:hAnsi="Times New Roman" w:cs="Times New Roman"/>
                <w:b w:val="0"/>
                <w:highlight w:val="yellow"/>
              </w:rPr>
              <w:t>3</w:t>
            </w:r>
            <w:r w:rsidR="00EC3663" w:rsidRPr="00EC3663">
              <w:rPr>
                <w:rFonts w:ascii="Times New Roman" w:hAnsi="Times New Roman" w:cs="Times New Roman"/>
                <w:b w:val="0"/>
                <w:highlight w:val="yellow"/>
              </w:rPr>
              <w:t>3</w:t>
            </w:r>
          </w:p>
        </w:tc>
      </w:tr>
      <w:tr w:rsidR="00CA380F" w:rsidRPr="00CA380F" w:rsidTr="00CA380F">
        <w:trPr>
          <w:trHeight w:hRule="exact" w:val="5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CA380F">
              <w:rPr>
                <w:rStyle w:val="11pt0pt"/>
                <w:rFonts w:eastAsiaTheme="minorHAnsi"/>
              </w:rPr>
              <w:t>Количество аварийных жилых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Style w:val="11pt0pt"/>
                <w:rFonts w:eastAsiaTheme="minorHAnsi"/>
              </w:rPr>
            </w:pPr>
            <w:r w:rsidRPr="00CA380F">
              <w:rPr>
                <w:rStyle w:val="11pt0pt"/>
                <w:rFonts w:eastAsiaTheme="minorHAnsi"/>
              </w:rPr>
              <w:t>ед.</w:t>
            </w:r>
          </w:p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5E3335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CA380F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80F" w:rsidRPr="00CA380F" w:rsidRDefault="00CA380F" w:rsidP="00CA380F">
            <w:pPr>
              <w:pStyle w:val="31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C2904" w:rsidRDefault="001C2904" w:rsidP="001C2904">
      <w:pPr>
        <w:sectPr w:rsidR="001C2904" w:rsidSect="00FF0EFB">
          <w:headerReference w:type="even" r:id="rId8"/>
          <w:headerReference w:type="default" r:id="rId9"/>
          <w:headerReference w:type="first" r:id="rId10"/>
          <w:pgSz w:w="11906" w:h="16838"/>
          <w:pgMar w:top="709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CA380F">
      <w:pPr>
        <w:pStyle w:val="31"/>
        <w:shd w:val="clear" w:color="auto" w:fill="auto"/>
        <w:spacing w:before="0" w:after="0" w:line="322" w:lineRule="exact"/>
        <w:ind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8944DB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="008944DB" w:rsidRPr="008944DB">
        <w:rPr>
          <w:b/>
          <w:sz w:val="28"/>
        </w:rPr>
        <w:t xml:space="preserve"> </w:t>
      </w:r>
      <w:r w:rsidR="008944DB" w:rsidRPr="001C2904">
        <w:rPr>
          <w:b/>
          <w:sz w:val="28"/>
        </w:rPr>
        <w:t>на территории МО Балакирево</w:t>
      </w:r>
      <w:r w:rsidRPr="001C2904">
        <w:rPr>
          <w:b/>
          <w:sz w:val="28"/>
        </w:rPr>
        <w:t>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 w:rsidR="008944DB">
        <w:rPr>
          <w:b/>
          <w:sz w:val="28"/>
        </w:rPr>
        <w:t xml:space="preserve"> и расселению</w:t>
      </w:r>
    </w:p>
    <w:p w:rsidR="00EE4ED6" w:rsidRPr="00EE4ED6" w:rsidRDefault="00EE4ED6" w:rsidP="00EE4ED6"/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AA2AF0" w:rsidP="00CB22CB">
            <w:r>
              <w:t>2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</w:t>
            </w:r>
          </w:p>
        </w:tc>
      </w:tr>
      <w:tr w:rsidR="0004745B" w:rsidTr="00CB22CB">
        <w:trPr>
          <w:trHeight w:val="593"/>
        </w:trPr>
        <w:tc>
          <w:tcPr>
            <w:tcW w:w="709" w:type="dxa"/>
          </w:tcPr>
          <w:p w:rsidR="0004745B" w:rsidRDefault="00AA2AF0" w:rsidP="00CB22CB">
            <w:r>
              <w:t>3</w:t>
            </w:r>
          </w:p>
        </w:tc>
        <w:tc>
          <w:tcPr>
            <w:tcW w:w="7395" w:type="dxa"/>
          </w:tcPr>
          <w:p w:rsidR="0004745B" w:rsidRPr="009E7622" w:rsidRDefault="0004745B" w:rsidP="00CB22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Лесная, д. 15</w:t>
            </w:r>
          </w:p>
        </w:tc>
        <w:tc>
          <w:tcPr>
            <w:tcW w:w="4038" w:type="dxa"/>
          </w:tcPr>
          <w:p w:rsidR="0004745B" w:rsidRPr="009E7622" w:rsidRDefault="0004745B" w:rsidP="00CB22CB">
            <w:pPr>
              <w:rPr>
                <w:sz w:val="28"/>
              </w:rPr>
            </w:pPr>
            <w:r>
              <w:rPr>
                <w:sz w:val="28"/>
              </w:rPr>
              <w:t>№ 205 от 25.06.2019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AA2AF0" w:rsidRPr="001C2904" w:rsidRDefault="00AA2AF0" w:rsidP="00AA2AF0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</w:t>
      </w:r>
      <w:r w:rsidRPr="008944DB">
        <w:rPr>
          <w:b/>
          <w:sz w:val="28"/>
        </w:rPr>
        <w:t xml:space="preserve"> </w:t>
      </w:r>
      <w:r w:rsidRPr="001C2904">
        <w:rPr>
          <w:b/>
          <w:sz w:val="28"/>
        </w:rPr>
        <w:t>на территории МО Балакирево, признанных непригодными</w:t>
      </w:r>
    </w:p>
    <w:p w:rsidR="00AA2AF0" w:rsidRDefault="00AA2AF0" w:rsidP="00AA2AF0">
      <w:pPr>
        <w:jc w:val="center"/>
      </w:pPr>
      <w:r w:rsidRPr="001C2904">
        <w:rPr>
          <w:b/>
          <w:sz w:val="28"/>
        </w:rPr>
        <w:t>для постоянного проживания, аварийными и подлежащими сносу</w:t>
      </w:r>
      <w:r>
        <w:rPr>
          <w:b/>
          <w:sz w:val="28"/>
        </w:rPr>
        <w:t>, и которые были расселены в 2019</w:t>
      </w:r>
      <w:r w:rsidR="00891485">
        <w:rPr>
          <w:b/>
          <w:sz w:val="28"/>
        </w:rPr>
        <w:t>-2020</w:t>
      </w:r>
      <w:r>
        <w:rPr>
          <w:b/>
          <w:sz w:val="28"/>
        </w:rPr>
        <w:t xml:space="preserve"> </w:t>
      </w:r>
      <w:r w:rsidR="00891485">
        <w:rPr>
          <w:b/>
          <w:sz w:val="28"/>
        </w:rPr>
        <w:t>г</w:t>
      </w:r>
      <w:r>
        <w:rPr>
          <w:b/>
          <w:sz w:val="28"/>
        </w:rPr>
        <w:t>г.</w:t>
      </w: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AA2AF0" w:rsidTr="009E6CB8">
        <w:trPr>
          <w:trHeight w:val="1185"/>
        </w:trPr>
        <w:tc>
          <w:tcPr>
            <w:tcW w:w="709" w:type="dxa"/>
          </w:tcPr>
          <w:p w:rsidR="00AA2AF0" w:rsidRPr="00E74475" w:rsidRDefault="00AA2AF0" w:rsidP="00E77A0F">
            <w:r w:rsidRPr="00E74475">
              <w:t>№  п/п</w:t>
            </w:r>
          </w:p>
        </w:tc>
        <w:tc>
          <w:tcPr>
            <w:tcW w:w="7395" w:type="dxa"/>
            <w:vAlign w:val="center"/>
          </w:tcPr>
          <w:p w:rsidR="00AA2AF0" w:rsidRPr="00E74475" w:rsidRDefault="00AA2AF0" w:rsidP="009E6CB8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  <w:vAlign w:val="center"/>
          </w:tcPr>
          <w:p w:rsidR="00AA2AF0" w:rsidRPr="00E74475" w:rsidRDefault="00AA2AF0" w:rsidP="009E6CB8">
            <w:pPr>
              <w:jc w:val="center"/>
            </w:pPr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AA2AF0" w:rsidTr="00E77A0F">
        <w:trPr>
          <w:trHeight w:val="593"/>
        </w:trPr>
        <w:tc>
          <w:tcPr>
            <w:tcW w:w="709" w:type="dxa"/>
          </w:tcPr>
          <w:p w:rsidR="00AA2AF0" w:rsidRDefault="00AA2AF0" w:rsidP="00E77A0F">
            <w:r>
              <w:t>1</w:t>
            </w:r>
          </w:p>
        </w:tc>
        <w:tc>
          <w:tcPr>
            <w:tcW w:w="7395" w:type="dxa"/>
          </w:tcPr>
          <w:p w:rsidR="00AA2AF0" w:rsidRPr="009E7622" w:rsidRDefault="00AA2AF0" w:rsidP="00E77A0F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Клубная, дом 10</w:t>
            </w:r>
            <w:r>
              <w:rPr>
                <w:sz w:val="28"/>
              </w:rPr>
              <w:t xml:space="preserve"> (расселены все жилые помещения)</w:t>
            </w:r>
          </w:p>
        </w:tc>
        <w:tc>
          <w:tcPr>
            <w:tcW w:w="4038" w:type="dxa"/>
          </w:tcPr>
          <w:p w:rsidR="00AA2AF0" w:rsidRPr="009E7622" w:rsidRDefault="00AA2AF0" w:rsidP="00E77A0F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</w:t>
            </w:r>
          </w:p>
        </w:tc>
      </w:tr>
      <w:tr w:rsidR="00AA2AF0" w:rsidTr="00E77A0F">
        <w:trPr>
          <w:trHeight w:val="593"/>
        </w:trPr>
        <w:tc>
          <w:tcPr>
            <w:tcW w:w="709" w:type="dxa"/>
          </w:tcPr>
          <w:p w:rsidR="00AA2AF0" w:rsidRDefault="00AA2AF0" w:rsidP="00E77A0F">
            <w:r>
              <w:t>2.</w:t>
            </w:r>
          </w:p>
        </w:tc>
        <w:tc>
          <w:tcPr>
            <w:tcW w:w="7395" w:type="dxa"/>
          </w:tcPr>
          <w:p w:rsidR="00AA2AF0" w:rsidRPr="009E7622" w:rsidRDefault="00AA2AF0" w:rsidP="00EC3663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r w:rsidRPr="009E7622">
              <w:rPr>
                <w:sz w:val="28"/>
              </w:rPr>
              <w:t>Больничная, дом 12</w:t>
            </w:r>
            <w:r>
              <w:rPr>
                <w:sz w:val="28"/>
              </w:rPr>
              <w:t xml:space="preserve"> (расселен</w:t>
            </w:r>
            <w:r w:rsidR="00CA380F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 w:rsidR="00EC3663">
              <w:rPr>
                <w:sz w:val="28"/>
              </w:rPr>
              <w:t>все</w:t>
            </w:r>
            <w:r>
              <w:rPr>
                <w:sz w:val="28"/>
              </w:rPr>
              <w:t xml:space="preserve"> жил</w:t>
            </w:r>
            <w:r w:rsidR="00CA380F">
              <w:rPr>
                <w:sz w:val="28"/>
              </w:rPr>
              <w:t xml:space="preserve">ых </w:t>
            </w:r>
            <w:r>
              <w:rPr>
                <w:sz w:val="28"/>
              </w:rPr>
              <w:t>помещени</w:t>
            </w:r>
            <w:r w:rsidR="00CA380F">
              <w:rPr>
                <w:sz w:val="28"/>
              </w:rPr>
              <w:t>я</w:t>
            </w:r>
            <w:r>
              <w:rPr>
                <w:sz w:val="28"/>
              </w:rPr>
              <w:t xml:space="preserve"> кв. </w:t>
            </w:r>
            <w:r w:rsidR="005E3335">
              <w:rPr>
                <w:sz w:val="28"/>
              </w:rPr>
              <w:t xml:space="preserve">№ 1, № 3, </w:t>
            </w:r>
            <w:r>
              <w:rPr>
                <w:sz w:val="28"/>
              </w:rPr>
              <w:t>№ 6</w:t>
            </w:r>
            <w:r w:rsidR="00891485">
              <w:rPr>
                <w:sz w:val="28"/>
              </w:rPr>
              <w:t>,</w:t>
            </w:r>
            <w:r w:rsidR="005E3335">
              <w:rPr>
                <w:sz w:val="28"/>
              </w:rPr>
              <w:t xml:space="preserve"> № 8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4038" w:type="dxa"/>
          </w:tcPr>
          <w:p w:rsidR="00AA2AF0" w:rsidRPr="009E7622" w:rsidRDefault="00AA2AF0" w:rsidP="00E77A0F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</w:t>
            </w:r>
            <w:r w:rsidR="00CA380F">
              <w:rPr>
                <w:sz w:val="28"/>
              </w:rPr>
              <w:t xml:space="preserve"> </w:t>
            </w:r>
          </w:p>
        </w:tc>
      </w:tr>
    </w:tbl>
    <w:p w:rsidR="00F5293F" w:rsidRDefault="00F5293F" w:rsidP="00AA2AF0">
      <w:pPr>
        <w:jc w:val="center"/>
      </w:pPr>
    </w:p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C4" w:rsidRDefault="000D2FC4" w:rsidP="00C7022B">
      <w:r>
        <w:separator/>
      </w:r>
    </w:p>
  </w:endnote>
  <w:endnote w:type="continuationSeparator" w:id="0">
    <w:p w:rsidR="000D2FC4" w:rsidRDefault="000D2FC4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C4" w:rsidRDefault="000D2FC4" w:rsidP="00C7022B">
      <w:r>
        <w:separator/>
      </w:r>
    </w:p>
  </w:footnote>
  <w:footnote w:type="continuationSeparator" w:id="0">
    <w:p w:rsidR="000D2FC4" w:rsidRDefault="000D2FC4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Default="00984AF6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7A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A0F" w:rsidRDefault="00E77A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Pr="0052235F" w:rsidRDefault="00E77A0F" w:rsidP="00CB22C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0F" w:rsidRPr="00496B50" w:rsidRDefault="00E77A0F" w:rsidP="00496B50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85642"/>
    <w:multiLevelType w:val="hybridMultilevel"/>
    <w:tmpl w:val="E664419C"/>
    <w:lvl w:ilvl="0" w:tplc="1CB23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D1B67"/>
    <w:multiLevelType w:val="hybridMultilevel"/>
    <w:tmpl w:val="EA00B040"/>
    <w:lvl w:ilvl="0" w:tplc="1CB23B4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C0D1B"/>
    <w:multiLevelType w:val="hybridMultilevel"/>
    <w:tmpl w:val="0CFC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250FB"/>
    <w:rsid w:val="00034AEB"/>
    <w:rsid w:val="0003631B"/>
    <w:rsid w:val="0004745B"/>
    <w:rsid w:val="00067A90"/>
    <w:rsid w:val="000845BC"/>
    <w:rsid w:val="000A62FD"/>
    <w:rsid w:val="000D2FC4"/>
    <w:rsid w:val="000D7A55"/>
    <w:rsid w:val="000E138F"/>
    <w:rsid w:val="000F61CE"/>
    <w:rsid w:val="0010084E"/>
    <w:rsid w:val="00107774"/>
    <w:rsid w:val="001246F3"/>
    <w:rsid w:val="00160972"/>
    <w:rsid w:val="00166690"/>
    <w:rsid w:val="00166ED3"/>
    <w:rsid w:val="001678B5"/>
    <w:rsid w:val="001802B4"/>
    <w:rsid w:val="001A2549"/>
    <w:rsid w:val="001B1DB1"/>
    <w:rsid w:val="001C08AB"/>
    <w:rsid w:val="001C2904"/>
    <w:rsid w:val="001C5A9C"/>
    <w:rsid w:val="001C6EF0"/>
    <w:rsid w:val="001D37FF"/>
    <w:rsid w:val="001E1B23"/>
    <w:rsid w:val="00205B25"/>
    <w:rsid w:val="00205CBD"/>
    <w:rsid w:val="00274DDB"/>
    <w:rsid w:val="002A29FB"/>
    <w:rsid w:val="002B65D5"/>
    <w:rsid w:val="002E0B83"/>
    <w:rsid w:val="002F68BD"/>
    <w:rsid w:val="00333DC4"/>
    <w:rsid w:val="00355CF0"/>
    <w:rsid w:val="00364845"/>
    <w:rsid w:val="0038419E"/>
    <w:rsid w:val="003E6374"/>
    <w:rsid w:val="003F6D4A"/>
    <w:rsid w:val="003F7983"/>
    <w:rsid w:val="004133C5"/>
    <w:rsid w:val="00423BF7"/>
    <w:rsid w:val="004452A4"/>
    <w:rsid w:val="00462218"/>
    <w:rsid w:val="0047045E"/>
    <w:rsid w:val="00496B50"/>
    <w:rsid w:val="0050769B"/>
    <w:rsid w:val="00525428"/>
    <w:rsid w:val="00536041"/>
    <w:rsid w:val="00561781"/>
    <w:rsid w:val="00563443"/>
    <w:rsid w:val="00587401"/>
    <w:rsid w:val="00587903"/>
    <w:rsid w:val="005B080D"/>
    <w:rsid w:val="005E3335"/>
    <w:rsid w:val="005F2ADD"/>
    <w:rsid w:val="005F7FC8"/>
    <w:rsid w:val="00626630"/>
    <w:rsid w:val="00632130"/>
    <w:rsid w:val="006558AC"/>
    <w:rsid w:val="00657887"/>
    <w:rsid w:val="00667632"/>
    <w:rsid w:val="00696FF7"/>
    <w:rsid w:val="006A2A68"/>
    <w:rsid w:val="006D620E"/>
    <w:rsid w:val="006E14BE"/>
    <w:rsid w:val="006F4735"/>
    <w:rsid w:val="00700E2F"/>
    <w:rsid w:val="007050F2"/>
    <w:rsid w:val="0079612F"/>
    <w:rsid w:val="007A4630"/>
    <w:rsid w:val="007E0572"/>
    <w:rsid w:val="007E1BDA"/>
    <w:rsid w:val="007F0116"/>
    <w:rsid w:val="007F2ED8"/>
    <w:rsid w:val="00800C14"/>
    <w:rsid w:val="008056BF"/>
    <w:rsid w:val="00812CF6"/>
    <w:rsid w:val="00872793"/>
    <w:rsid w:val="00877218"/>
    <w:rsid w:val="0088143A"/>
    <w:rsid w:val="00891485"/>
    <w:rsid w:val="008944DB"/>
    <w:rsid w:val="00894D6F"/>
    <w:rsid w:val="008C5AA2"/>
    <w:rsid w:val="008E5055"/>
    <w:rsid w:val="008E6863"/>
    <w:rsid w:val="008E7253"/>
    <w:rsid w:val="00900A37"/>
    <w:rsid w:val="00900FED"/>
    <w:rsid w:val="00975F64"/>
    <w:rsid w:val="00984AF6"/>
    <w:rsid w:val="009906D1"/>
    <w:rsid w:val="00994879"/>
    <w:rsid w:val="009C28E9"/>
    <w:rsid w:val="009C7B65"/>
    <w:rsid w:val="009D1959"/>
    <w:rsid w:val="009D65B2"/>
    <w:rsid w:val="009E6CB8"/>
    <w:rsid w:val="00A02180"/>
    <w:rsid w:val="00A054B1"/>
    <w:rsid w:val="00A13216"/>
    <w:rsid w:val="00A353A3"/>
    <w:rsid w:val="00A51681"/>
    <w:rsid w:val="00A95382"/>
    <w:rsid w:val="00A97527"/>
    <w:rsid w:val="00AA2AF0"/>
    <w:rsid w:val="00AA544A"/>
    <w:rsid w:val="00AC1FAB"/>
    <w:rsid w:val="00AF5B68"/>
    <w:rsid w:val="00B53742"/>
    <w:rsid w:val="00B6487D"/>
    <w:rsid w:val="00B808D1"/>
    <w:rsid w:val="00B80A23"/>
    <w:rsid w:val="00B84205"/>
    <w:rsid w:val="00BE04AB"/>
    <w:rsid w:val="00C307F3"/>
    <w:rsid w:val="00C7022B"/>
    <w:rsid w:val="00C959DB"/>
    <w:rsid w:val="00C97759"/>
    <w:rsid w:val="00CA33CA"/>
    <w:rsid w:val="00CA380F"/>
    <w:rsid w:val="00CB0C38"/>
    <w:rsid w:val="00CB22CB"/>
    <w:rsid w:val="00CC0869"/>
    <w:rsid w:val="00CD4451"/>
    <w:rsid w:val="00CE2129"/>
    <w:rsid w:val="00D11828"/>
    <w:rsid w:val="00D3031C"/>
    <w:rsid w:val="00D4362D"/>
    <w:rsid w:val="00D50FF5"/>
    <w:rsid w:val="00D51638"/>
    <w:rsid w:val="00D57E56"/>
    <w:rsid w:val="00D77E13"/>
    <w:rsid w:val="00D930E4"/>
    <w:rsid w:val="00DC267F"/>
    <w:rsid w:val="00DD275E"/>
    <w:rsid w:val="00DE7C36"/>
    <w:rsid w:val="00E346B0"/>
    <w:rsid w:val="00E56806"/>
    <w:rsid w:val="00E77A0F"/>
    <w:rsid w:val="00E80AB5"/>
    <w:rsid w:val="00EA6D71"/>
    <w:rsid w:val="00EC13DF"/>
    <w:rsid w:val="00EC3663"/>
    <w:rsid w:val="00ED5B45"/>
    <w:rsid w:val="00ED7596"/>
    <w:rsid w:val="00EE09DB"/>
    <w:rsid w:val="00EE4ED6"/>
    <w:rsid w:val="00EF28FF"/>
    <w:rsid w:val="00F07C98"/>
    <w:rsid w:val="00F25C59"/>
    <w:rsid w:val="00F5293F"/>
    <w:rsid w:val="00F7503D"/>
    <w:rsid w:val="00F83C0D"/>
    <w:rsid w:val="00F8523E"/>
    <w:rsid w:val="00F868BA"/>
    <w:rsid w:val="00FA2023"/>
    <w:rsid w:val="00FA6A9D"/>
    <w:rsid w:val="00F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FF0E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0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CCF6-9258-42FC-B7D5-4CC5E343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2020-11-20T06:52:00Z</cp:lastPrinted>
  <dcterms:created xsi:type="dcterms:W3CDTF">2020-10-29T05:17:00Z</dcterms:created>
  <dcterms:modified xsi:type="dcterms:W3CDTF">2020-11-20T12:59:00Z</dcterms:modified>
</cp:coreProperties>
</file>