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992FE1" w:rsidP="007226B1">
      <w:pPr>
        <w:jc w:val="both"/>
      </w:pPr>
      <w:r>
        <w:t xml:space="preserve">от  </w:t>
      </w:r>
      <w:r w:rsidR="007004C8">
        <w:t>27.12.2022</w:t>
      </w:r>
      <w:r w:rsidR="007226B1" w:rsidRPr="00B00FC1">
        <w:t xml:space="preserve">                     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</w:t>
      </w:r>
      <w:r w:rsidR="007004C8">
        <w:t xml:space="preserve">     </w:t>
      </w:r>
      <w:r w:rsidR="007226B1" w:rsidRPr="00B00FC1">
        <w:t xml:space="preserve">№ </w:t>
      </w:r>
      <w:r w:rsidR="007004C8">
        <w:t>427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="00992FE1">
        <w:rPr>
          <w:sz w:val="28"/>
        </w:rPr>
        <w:t>.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</w:t>
      </w:r>
      <w:r w:rsidR="00DC5BE9">
        <w:rPr>
          <w:bCs/>
        </w:rPr>
        <w:t xml:space="preserve">                                     </w:t>
      </w:r>
      <w:r w:rsidRPr="00B00FC1">
        <w:rPr>
          <w:bCs/>
        </w:rPr>
        <w:t>№</w:t>
      </w:r>
      <w:r w:rsidR="00992FE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2C59B2">
              <w:rPr>
                <w:rFonts w:ascii="Times New Roman" w:hAnsi="Times New Roman" w:cs="Times New Roman"/>
                <w:b/>
                <w:sz w:val="26"/>
                <w:szCs w:val="26"/>
              </w:rPr>
              <w:t>23 624 697,25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0 руб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6E67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074 922,13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="006E67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283 592,76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067 611,86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2C59B2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067 611,86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067 611,86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2C5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2 193 721,91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450 992,05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394 870,14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394 870,14</w:t>
            </w:r>
            <w:r w:rsidR="002C59B2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394 870,14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BC241D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  <w:r w:rsidR="002C5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356 053,21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2022 год – 3</w:t>
            </w:r>
            <w:r w:rsidR="002C59B2">
              <w:rPr>
                <w:sz w:val="26"/>
                <w:szCs w:val="26"/>
              </w:rPr>
              <w:t> 221 371,79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2023 год –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2 716 038,00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59B2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2 716 038,00</w:t>
            </w:r>
            <w:r w:rsidR="002C59B2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2C59B2" w:rsidRDefault="002C59B2" w:rsidP="002C59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2 716 038,00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, в т.ч. 1 семья - многодетная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Продуманная и реалистичная политика в отношении семьи, расширение экономической поддержки семьи и, в частности, помощь в приобретении и </w:t>
      </w:r>
      <w:r w:rsidRPr="00B00FC1">
        <w:rPr>
          <w:sz w:val="26"/>
          <w:szCs w:val="26"/>
        </w:rPr>
        <w:lastRenderedPageBreak/>
        <w:t>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2C59B2">
        <w:rPr>
          <w:sz w:val="26"/>
          <w:szCs w:val="26"/>
        </w:rPr>
        <w:t>2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2C59B2">
        <w:rPr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>,</w:t>
      </w:r>
      <w:r w:rsidR="002C59B2">
        <w:rPr>
          <w:sz w:val="26"/>
          <w:szCs w:val="26"/>
        </w:rPr>
        <w:t xml:space="preserve"> в том числе 1 семья – многодетная,</w:t>
      </w:r>
      <w:r w:rsidR="00103CC2" w:rsidRPr="00B00FC1">
        <w:rPr>
          <w:sz w:val="26"/>
          <w:szCs w:val="26"/>
        </w:rPr>
        <w:t xml:space="preserve">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создание механизмов оказания государственной поддержки молодым семьям в </w:t>
      </w:r>
      <w:r w:rsidRPr="00B00FC1">
        <w:rPr>
          <w:sz w:val="26"/>
          <w:szCs w:val="26"/>
        </w:rPr>
        <w:lastRenderedPageBreak/>
        <w:t>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1F32AC">
        <w:rPr>
          <w:b/>
          <w:color w:val="000000"/>
          <w:sz w:val="26"/>
          <w:szCs w:val="26"/>
        </w:rPr>
        <w:t>2 193 721,91</w:t>
      </w:r>
      <w:r w:rsidR="007042B6" w:rsidRPr="00B00FC1">
        <w:rPr>
          <w:b/>
          <w:color w:val="000000"/>
          <w:sz w:val="26"/>
          <w:szCs w:val="26"/>
        </w:rPr>
        <w:t xml:space="preserve"> </w:t>
      </w:r>
      <w:r w:rsidR="004C1576" w:rsidRPr="00B00FC1">
        <w:rPr>
          <w:b/>
          <w:color w:val="000000"/>
          <w:sz w:val="26"/>
          <w:szCs w:val="26"/>
        </w:rPr>
        <w:t>руб.;</w:t>
      </w:r>
      <w:r w:rsidR="004C1576" w:rsidRPr="00B00FC1">
        <w:rPr>
          <w:color w:val="000000"/>
          <w:sz w:val="26"/>
          <w:szCs w:val="26"/>
        </w:rPr>
        <w:t xml:space="preserve"> в том числе по годам: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color w:val="000000"/>
          <w:sz w:val="26"/>
          <w:szCs w:val="26"/>
        </w:rPr>
        <w:t>450 992,05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color w:val="000000"/>
          <w:sz w:val="26"/>
          <w:szCs w:val="26"/>
        </w:rPr>
        <w:t>394 870,14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color w:val="000000"/>
          <w:sz w:val="26"/>
          <w:szCs w:val="26"/>
        </w:rPr>
        <w:t>394 870,14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color w:val="000000"/>
          <w:sz w:val="26"/>
          <w:szCs w:val="26"/>
        </w:rPr>
        <w:t>394 870,14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1F32AC">
        <w:rPr>
          <w:color w:val="FF6600"/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молодым семьям</w:t>
      </w:r>
      <w:r w:rsidR="001F32AC">
        <w:rPr>
          <w:sz w:val="26"/>
          <w:szCs w:val="26"/>
        </w:rPr>
        <w:t>, из них 1 семья, имеющая статус многодетной семьи</w:t>
      </w:r>
      <w:r w:rsidRPr="00B00FC1">
        <w:rPr>
          <w:sz w:val="26"/>
          <w:szCs w:val="26"/>
        </w:rPr>
        <w:t>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lastRenderedPageBreak/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1F32AC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1F32AC">
              <w:rPr>
                <w:color w:val="FF6600"/>
                <w:sz w:val="22"/>
                <w:szCs w:val="22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10030" w:type="dxa"/>
        <w:tblLayout w:type="fixed"/>
        <w:tblLook w:val="04A0"/>
      </w:tblPr>
      <w:tblGrid>
        <w:gridCol w:w="4928"/>
        <w:gridCol w:w="929"/>
        <w:gridCol w:w="914"/>
        <w:gridCol w:w="735"/>
        <w:gridCol w:w="824"/>
        <w:gridCol w:w="850"/>
        <w:gridCol w:w="836"/>
        <w:gridCol w:w="14"/>
      </w:tblGrid>
      <w:tr w:rsidR="001F32AC" w:rsidRPr="00B00FC1" w:rsidTr="000B5037">
        <w:trPr>
          <w:gridAfter w:val="1"/>
          <w:wAfter w:w="14" w:type="dxa"/>
          <w:trHeight w:val="435"/>
        </w:trPr>
        <w:tc>
          <w:tcPr>
            <w:tcW w:w="4928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4159" w:type="dxa"/>
            <w:gridSpan w:val="5"/>
          </w:tcPr>
          <w:p w:rsidR="001F32AC" w:rsidRPr="00B00FC1" w:rsidRDefault="001F32AC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1F32AC" w:rsidRPr="00B00FC1" w:rsidTr="001F32AC">
        <w:trPr>
          <w:trHeight w:val="331"/>
        </w:trPr>
        <w:tc>
          <w:tcPr>
            <w:tcW w:w="4928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14" w:type="dxa"/>
          </w:tcPr>
          <w:p w:rsidR="001F32AC" w:rsidRPr="00B00FC1" w:rsidRDefault="001F32AC" w:rsidP="00B209B2">
            <w:r w:rsidRPr="00B00FC1">
              <w:t>2021</w:t>
            </w:r>
          </w:p>
        </w:tc>
        <w:tc>
          <w:tcPr>
            <w:tcW w:w="735" w:type="dxa"/>
          </w:tcPr>
          <w:p w:rsidR="001F32AC" w:rsidRPr="00B00FC1" w:rsidRDefault="001F32AC" w:rsidP="001628AF">
            <w:r w:rsidRPr="00B00FC1">
              <w:t>2022</w:t>
            </w:r>
          </w:p>
        </w:tc>
        <w:tc>
          <w:tcPr>
            <w:tcW w:w="824" w:type="dxa"/>
          </w:tcPr>
          <w:p w:rsidR="001F32AC" w:rsidRPr="00B00FC1" w:rsidRDefault="001F32AC" w:rsidP="001628AF">
            <w:r w:rsidRPr="00B00FC1">
              <w:t>2023</w:t>
            </w:r>
          </w:p>
        </w:tc>
        <w:tc>
          <w:tcPr>
            <w:tcW w:w="850" w:type="dxa"/>
          </w:tcPr>
          <w:p w:rsidR="001F32AC" w:rsidRPr="00B00FC1" w:rsidRDefault="001F32AC" w:rsidP="001628AF">
            <w:r w:rsidRPr="00B00FC1">
              <w:t>2024</w:t>
            </w:r>
          </w:p>
        </w:tc>
        <w:tc>
          <w:tcPr>
            <w:tcW w:w="850" w:type="dxa"/>
            <w:gridSpan w:val="2"/>
          </w:tcPr>
          <w:p w:rsidR="001F32AC" w:rsidRPr="00B00FC1" w:rsidRDefault="001F32AC" w:rsidP="001628AF">
            <w:r>
              <w:t>2025</w:t>
            </w:r>
          </w:p>
        </w:tc>
      </w:tr>
      <w:tr w:rsidR="001F32AC" w:rsidRPr="00B00FC1" w:rsidTr="001F32AC">
        <w:trPr>
          <w:trHeight w:val="942"/>
        </w:trPr>
        <w:tc>
          <w:tcPr>
            <w:tcW w:w="4928" w:type="dxa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1F32AC" w:rsidRPr="00B00FC1" w:rsidRDefault="001F32AC" w:rsidP="001F32AC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</w:t>
            </w:r>
            <w:r>
              <w:rPr>
                <w:sz w:val="28"/>
                <w:shd w:val="clear" w:color="auto" w:fill="FFFFFF" w:themeFill="background1"/>
              </w:rPr>
              <w:t>8</w:t>
            </w:r>
          </w:p>
        </w:tc>
        <w:tc>
          <w:tcPr>
            <w:tcW w:w="914" w:type="dxa"/>
          </w:tcPr>
          <w:p w:rsidR="001F32AC" w:rsidRPr="00B00FC1" w:rsidRDefault="001F32AC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1F32AC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23</w:t>
      </w:r>
      <w:r w:rsidR="001F32AC">
        <w:rPr>
          <w:b/>
          <w:sz w:val="26"/>
          <w:szCs w:val="26"/>
        </w:rPr>
        <w:t> 624 697,25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1F32AC">
        <w:rPr>
          <w:b/>
          <w:color w:val="000000"/>
          <w:sz w:val="26"/>
          <w:szCs w:val="26"/>
        </w:rPr>
        <w:t>6 074 922,13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2</w:t>
      </w:r>
      <w:r w:rsidR="001F32AC">
        <w:rPr>
          <w:b/>
          <w:color w:val="000000"/>
          <w:sz w:val="26"/>
          <w:szCs w:val="26"/>
        </w:rPr>
        <w:t> 193 721,91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15</w:t>
      </w:r>
      <w:r w:rsidR="001F32AC">
        <w:rPr>
          <w:b/>
          <w:sz w:val="26"/>
          <w:szCs w:val="26"/>
        </w:rPr>
        <w:t> 356 053,21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21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2060"/>
        <w:gridCol w:w="1840"/>
        <w:gridCol w:w="1500"/>
        <w:gridCol w:w="1500"/>
        <w:gridCol w:w="1700"/>
        <w:gridCol w:w="1500"/>
      </w:tblGrid>
      <w:tr w:rsidR="001F32AC" w:rsidRPr="001F32AC" w:rsidTr="001F32AC">
        <w:trPr>
          <w:trHeight w:val="324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2021-2025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2022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2023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2024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2025</w:t>
            </w:r>
          </w:p>
        </w:tc>
      </w:tr>
      <w:tr w:rsidR="001F32AC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402B19" w:rsidP="001F32AC">
            <w:pPr>
              <w:rPr>
                <w:color w:val="000000"/>
              </w:rPr>
            </w:pPr>
            <w:hyperlink r:id="rId13" w:history="1">
              <w:r w:rsidR="001F32AC" w:rsidRPr="001F32AC">
                <w:rPr>
                  <w:color w:val="000000"/>
                </w:rPr>
                <w:t>федеральный бюджет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32A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 </w:t>
            </w:r>
          </w:p>
        </w:tc>
      </w:tr>
      <w:tr w:rsidR="001F32AC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402B19" w:rsidP="001F32AC">
            <w:pPr>
              <w:rPr>
                <w:color w:val="000000"/>
              </w:rPr>
            </w:pPr>
            <w:hyperlink r:id="rId14" w:history="1">
              <w:r w:rsidR="001F32AC" w:rsidRPr="001F32AC">
                <w:rPr>
                  <w:color w:val="000000"/>
                </w:rPr>
                <w:t xml:space="preserve">областной бюджет 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32AC">
              <w:rPr>
                <w:b/>
                <w:bCs/>
                <w:color w:val="000000"/>
                <w:sz w:val="28"/>
                <w:szCs w:val="28"/>
              </w:rPr>
              <w:t>6 074 922,13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1 588 493,79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1 283 592,76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1 067 611,86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1 067 611,86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1 067 611,86</w:t>
            </w:r>
          </w:p>
        </w:tc>
      </w:tr>
      <w:tr w:rsidR="001F32AC" w:rsidRPr="001F32AC" w:rsidTr="001F32AC">
        <w:trPr>
          <w:trHeight w:val="636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 xml:space="preserve">местные бюджеты 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32AC">
              <w:rPr>
                <w:b/>
                <w:bCs/>
                <w:color w:val="000000"/>
                <w:sz w:val="28"/>
                <w:szCs w:val="28"/>
              </w:rPr>
              <w:t>2 193 721,91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FF0000"/>
              </w:rPr>
            </w:pPr>
            <w:r w:rsidRPr="001F32AC">
              <w:rPr>
                <w:b/>
                <w:bCs/>
                <w:color w:val="FF0000"/>
              </w:rPr>
              <w:t>558 119,44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FF0000"/>
              </w:rPr>
            </w:pPr>
            <w:r w:rsidRPr="001F32AC">
              <w:rPr>
                <w:b/>
                <w:bCs/>
                <w:color w:val="FF0000"/>
              </w:rPr>
              <w:t xml:space="preserve">450 992,05  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FF0000"/>
              </w:rPr>
            </w:pPr>
            <w:r w:rsidRPr="001F32AC">
              <w:rPr>
                <w:b/>
                <w:bCs/>
                <w:color w:val="FF0000"/>
              </w:rPr>
              <w:t xml:space="preserve">394 870,14  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FF0000"/>
              </w:rPr>
            </w:pPr>
            <w:r w:rsidRPr="001F32AC">
              <w:rPr>
                <w:b/>
                <w:bCs/>
                <w:color w:val="FF0000"/>
              </w:rPr>
              <w:t xml:space="preserve">394 870,14  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FF0000"/>
              </w:rPr>
            </w:pPr>
            <w:r w:rsidRPr="001F32AC">
              <w:rPr>
                <w:b/>
                <w:bCs/>
                <w:color w:val="FF0000"/>
              </w:rPr>
              <w:t xml:space="preserve">394 870,14  </w:t>
            </w:r>
          </w:p>
        </w:tc>
      </w:tr>
      <w:tr w:rsidR="001F32AC" w:rsidRPr="001F32AC" w:rsidTr="001F32AC">
        <w:trPr>
          <w:trHeight w:val="348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собственные и заемные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32AC">
              <w:rPr>
                <w:b/>
                <w:bCs/>
                <w:color w:val="000000"/>
                <w:sz w:val="28"/>
                <w:szCs w:val="28"/>
              </w:rPr>
              <w:t>15 356 053,21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3986567,43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3221371,79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2716038,00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2716038,00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2716038,00</w:t>
            </w:r>
          </w:p>
        </w:tc>
      </w:tr>
      <w:tr w:rsidR="001F32AC" w:rsidRPr="001F32AC" w:rsidTr="001F32AC">
        <w:trPr>
          <w:trHeight w:val="360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 xml:space="preserve">ИТОГО:                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32AC">
              <w:rPr>
                <w:b/>
                <w:bCs/>
                <w:color w:val="000000"/>
                <w:sz w:val="28"/>
                <w:szCs w:val="28"/>
              </w:rPr>
              <w:t>23 624 697,25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6 133 180,66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4 955 956,59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4 178 520,00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4 178 520,00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4 178 520,00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B1" w:rsidRDefault="004F4BB1" w:rsidP="00AE7DBE">
      <w:r>
        <w:separator/>
      </w:r>
    </w:p>
  </w:endnote>
  <w:endnote w:type="continuationSeparator" w:id="0">
    <w:p w:rsidR="004F4BB1" w:rsidRDefault="004F4BB1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B1" w:rsidRDefault="004F4BB1" w:rsidP="00AE7DBE">
      <w:r>
        <w:separator/>
      </w:r>
    </w:p>
  </w:footnote>
  <w:footnote w:type="continuationSeparator" w:id="0">
    <w:p w:rsidR="004F4BB1" w:rsidRDefault="004F4BB1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F93"/>
    <w:rsid w:val="00053C3A"/>
    <w:rsid w:val="00054C80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32AC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4009"/>
    <w:rsid w:val="002C4566"/>
    <w:rsid w:val="002C59B2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2B19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BB1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63980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675C"/>
    <w:rsid w:val="006E7766"/>
    <w:rsid w:val="006F2397"/>
    <w:rsid w:val="006F316D"/>
    <w:rsid w:val="006F5A20"/>
    <w:rsid w:val="006F7416"/>
    <w:rsid w:val="007004C8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47917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282A"/>
    <w:rsid w:val="00DB423F"/>
    <w:rsid w:val="00DB6096"/>
    <w:rsid w:val="00DB7B70"/>
    <w:rsid w:val="00DC1AA8"/>
    <w:rsid w:val="00DC33F2"/>
    <w:rsid w:val="00DC3B40"/>
    <w:rsid w:val="00DC54A2"/>
    <w:rsid w:val="00DC5BE9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1347-5688-4754-B87C-CCE549D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22964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2022-12-19T12:56:00Z</cp:lastPrinted>
  <dcterms:created xsi:type="dcterms:W3CDTF">2022-12-19T11:51:00Z</dcterms:created>
  <dcterms:modified xsi:type="dcterms:W3CDTF">2022-12-27T10:55:00Z</dcterms:modified>
</cp:coreProperties>
</file>