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ПОСЕЛКА БАЛАКИРЕВО АЛЕКСАНДРОВСКОГО  РАЙОНА</w:t>
      </w:r>
    </w:p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ВЛАДИМИРСКОЙ ОБЛАСТИ</w:t>
      </w:r>
    </w:p>
    <w:p w:rsidR="00C64471" w:rsidRDefault="00C64471" w:rsidP="00C64471">
      <w:pPr>
        <w:jc w:val="center"/>
        <w:rPr>
          <w:b/>
          <w:sz w:val="28"/>
          <w:szCs w:val="28"/>
        </w:rPr>
      </w:pPr>
    </w:p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4471" w:rsidRDefault="00C64471" w:rsidP="00C64471">
      <w:pPr>
        <w:jc w:val="center"/>
        <w:rPr>
          <w:b/>
          <w:sz w:val="28"/>
          <w:szCs w:val="28"/>
        </w:rPr>
      </w:pPr>
    </w:p>
    <w:p w:rsidR="00C64471" w:rsidRDefault="00A44C29" w:rsidP="00C64471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27.12.2021</w:t>
      </w:r>
      <w:r w:rsidR="00C64471">
        <w:rPr>
          <w:sz w:val="28"/>
          <w:szCs w:val="28"/>
        </w:rPr>
        <w:t xml:space="preserve">                                                                             № </w:t>
      </w:r>
      <w:r>
        <w:rPr>
          <w:sz w:val="28"/>
          <w:szCs w:val="28"/>
        </w:rPr>
        <w:t xml:space="preserve"> 52</w:t>
      </w:r>
    </w:p>
    <w:p w:rsidR="00C64471" w:rsidRDefault="00C64471" w:rsidP="00C64471">
      <w:pPr>
        <w:jc w:val="both"/>
        <w:rPr>
          <w:i/>
          <w:sz w:val="24"/>
          <w:szCs w:val="24"/>
        </w:rPr>
      </w:pPr>
    </w:p>
    <w:p w:rsidR="00730AA3" w:rsidRDefault="00C64471" w:rsidP="00C6447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="00730AA3">
        <w:rPr>
          <w:i/>
          <w:sz w:val="24"/>
          <w:szCs w:val="24"/>
        </w:rPr>
        <w:t xml:space="preserve"> внесении изменений в решение</w:t>
      </w:r>
    </w:p>
    <w:p w:rsidR="00A411E5" w:rsidRDefault="00730AA3" w:rsidP="00C6447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Совета народных депутатов</w:t>
      </w:r>
    </w:p>
    <w:p w:rsidR="00C64471" w:rsidRDefault="00A411E5" w:rsidP="00A411E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поселка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 xml:space="preserve"> от 05.03.2020 № 6</w:t>
      </w:r>
    </w:p>
    <w:p w:rsidR="00C64471" w:rsidRDefault="00C64471" w:rsidP="00C64471">
      <w:pPr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iCs/>
          <w:sz w:val="28"/>
          <w:szCs w:val="28"/>
        </w:rPr>
        <w:t>В соответствии с</w:t>
      </w:r>
      <w:r w:rsidR="00A411E5">
        <w:rPr>
          <w:rFonts w:eastAsia="Calibri"/>
          <w:iCs/>
          <w:sz w:val="28"/>
          <w:szCs w:val="28"/>
        </w:rPr>
        <w:t>о ст. 39.7</w:t>
      </w:r>
      <w:r>
        <w:rPr>
          <w:rFonts w:eastAsia="Calibri"/>
          <w:iCs/>
          <w:sz w:val="28"/>
          <w:szCs w:val="28"/>
        </w:rPr>
        <w:t xml:space="preserve"> Земельн</w:t>
      </w:r>
      <w:r w:rsidR="00A411E5">
        <w:rPr>
          <w:rFonts w:eastAsia="Calibri"/>
          <w:iCs/>
          <w:sz w:val="28"/>
          <w:szCs w:val="28"/>
        </w:rPr>
        <w:t>ого</w:t>
      </w:r>
      <w:r>
        <w:rPr>
          <w:rFonts w:eastAsia="Calibri"/>
          <w:iCs/>
          <w:sz w:val="28"/>
          <w:szCs w:val="28"/>
        </w:rPr>
        <w:t xml:space="preserve"> </w:t>
      </w:r>
      <w:hyperlink r:id="rId5" w:history="1">
        <w:r>
          <w:rPr>
            <w:rStyle w:val="a3"/>
            <w:rFonts w:eastAsia="Calibri"/>
            <w:iCs/>
            <w:color w:val="auto"/>
            <w:sz w:val="28"/>
            <w:szCs w:val="28"/>
            <w:u w:val="none"/>
          </w:rPr>
          <w:t>кодекс</w:t>
        </w:r>
      </w:hyperlink>
      <w:r w:rsidR="00A411E5">
        <w:rPr>
          <w:sz w:val="28"/>
          <w:szCs w:val="28"/>
        </w:rPr>
        <w:t>а</w:t>
      </w:r>
      <w:r>
        <w:rPr>
          <w:rFonts w:eastAsia="Calibri"/>
          <w:iCs/>
          <w:sz w:val="28"/>
          <w:szCs w:val="28"/>
        </w:rPr>
        <w:t xml:space="preserve"> Российской Федерации</w:t>
      </w:r>
      <w:r w:rsidR="00A411E5">
        <w:rPr>
          <w:rFonts w:eastAsia="Calibri"/>
          <w:iCs/>
          <w:sz w:val="28"/>
          <w:szCs w:val="28"/>
        </w:rPr>
        <w:t xml:space="preserve"> и на основани</w:t>
      </w:r>
      <w:proofErr w:type="gramStart"/>
      <w:r w:rsidR="00A411E5">
        <w:rPr>
          <w:rFonts w:eastAsia="Calibri"/>
          <w:iCs/>
          <w:sz w:val="28"/>
          <w:szCs w:val="28"/>
        </w:rPr>
        <w:t>е</w:t>
      </w:r>
      <w:proofErr w:type="gramEnd"/>
      <w:r w:rsidR="00A411E5">
        <w:rPr>
          <w:rFonts w:eastAsia="Calibri"/>
          <w:iCs/>
          <w:sz w:val="28"/>
          <w:szCs w:val="28"/>
        </w:rPr>
        <w:t xml:space="preserve"> постановления администрации Владимирской области от </w:t>
      </w:r>
      <w:r w:rsidR="00BD6753">
        <w:rPr>
          <w:rFonts w:eastAsia="Calibri"/>
          <w:iCs/>
          <w:sz w:val="28"/>
          <w:szCs w:val="28"/>
        </w:rPr>
        <w:t>15</w:t>
      </w:r>
      <w:r w:rsidR="00A411E5">
        <w:rPr>
          <w:rFonts w:eastAsia="Calibri"/>
          <w:iCs/>
          <w:sz w:val="28"/>
          <w:szCs w:val="28"/>
        </w:rPr>
        <w:t>.</w:t>
      </w:r>
      <w:r w:rsidR="00BD6753">
        <w:rPr>
          <w:rFonts w:eastAsia="Calibri"/>
          <w:iCs/>
          <w:sz w:val="28"/>
          <w:szCs w:val="28"/>
        </w:rPr>
        <w:t>11.2021 № 729</w:t>
      </w:r>
      <w:r w:rsidR="00A411E5">
        <w:rPr>
          <w:rFonts w:eastAsia="Calibri"/>
          <w:iCs/>
          <w:sz w:val="28"/>
          <w:szCs w:val="28"/>
        </w:rPr>
        <w:t xml:space="preserve"> «О внесении изменения в</w:t>
      </w:r>
      <w:r>
        <w:rPr>
          <w:rFonts w:eastAsia="Calibri"/>
          <w:i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Губернатора Владимирской области от 28.12.2007 N 969 "О порядке определения размера арендной платы, а также условий и сроков внесения арендной платы за использование земельных участков, государственная собственность на которые не разграничена, расположенных на территории Владимирской области», Совет народных депутатов</w:t>
      </w:r>
    </w:p>
    <w:p w:rsidR="00C64471" w:rsidRDefault="00C64471" w:rsidP="00C64471">
      <w:pPr>
        <w:jc w:val="both"/>
        <w:rPr>
          <w:sz w:val="28"/>
          <w:szCs w:val="28"/>
        </w:rPr>
      </w:pPr>
    </w:p>
    <w:p w:rsidR="00C64471" w:rsidRDefault="00C64471" w:rsidP="00C644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РЕШИЛ:</w:t>
      </w:r>
    </w:p>
    <w:p w:rsidR="00C64471" w:rsidRDefault="00C64471" w:rsidP="00C64471">
      <w:pPr>
        <w:jc w:val="both"/>
        <w:rPr>
          <w:sz w:val="28"/>
          <w:szCs w:val="28"/>
        </w:rPr>
      </w:pPr>
    </w:p>
    <w:p w:rsidR="008F5DA4" w:rsidRPr="003A7E70" w:rsidRDefault="00C64471" w:rsidP="00FE26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7E70">
        <w:rPr>
          <w:sz w:val="28"/>
          <w:szCs w:val="28"/>
        </w:rPr>
        <w:t xml:space="preserve">1. </w:t>
      </w:r>
      <w:r w:rsidR="00A411E5" w:rsidRPr="003A7E70">
        <w:rPr>
          <w:sz w:val="28"/>
          <w:szCs w:val="28"/>
        </w:rPr>
        <w:t xml:space="preserve">Внести </w:t>
      </w:r>
      <w:r w:rsidR="0069539D">
        <w:rPr>
          <w:sz w:val="28"/>
          <w:szCs w:val="28"/>
        </w:rPr>
        <w:t xml:space="preserve">изменение </w:t>
      </w:r>
      <w:r w:rsidR="00D22703" w:rsidRPr="003A7E70">
        <w:rPr>
          <w:sz w:val="28"/>
          <w:szCs w:val="28"/>
        </w:rPr>
        <w:t>в приложение</w:t>
      </w:r>
      <w:r w:rsidR="00A411E5" w:rsidRPr="003A7E70">
        <w:rPr>
          <w:sz w:val="28"/>
          <w:szCs w:val="28"/>
        </w:rPr>
        <w:t xml:space="preserve"> решени</w:t>
      </w:r>
      <w:r w:rsidR="00D22703" w:rsidRPr="003A7E70">
        <w:rPr>
          <w:sz w:val="28"/>
          <w:szCs w:val="28"/>
        </w:rPr>
        <w:t>я</w:t>
      </w:r>
      <w:r w:rsidR="00A411E5" w:rsidRPr="003A7E70">
        <w:rPr>
          <w:sz w:val="28"/>
          <w:szCs w:val="28"/>
        </w:rPr>
        <w:t xml:space="preserve"> Совета народных депутатов поселка </w:t>
      </w:r>
      <w:proofErr w:type="spellStart"/>
      <w:r w:rsidR="00A411E5" w:rsidRPr="003A7E70">
        <w:rPr>
          <w:sz w:val="28"/>
          <w:szCs w:val="28"/>
        </w:rPr>
        <w:t>Балакирево</w:t>
      </w:r>
      <w:proofErr w:type="spellEnd"/>
      <w:r w:rsidR="00A411E5" w:rsidRPr="003A7E70">
        <w:rPr>
          <w:sz w:val="28"/>
          <w:szCs w:val="28"/>
        </w:rPr>
        <w:t xml:space="preserve"> от 05.03.2020 № 6</w:t>
      </w:r>
      <w:r w:rsidR="008F5DA4" w:rsidRPr="003A7E70">
        <w:rPr>
          <w:i/>
          <w:sz w:val="28"/>
          <w:szCs w:val="28"/>
        </w:rPr>
        <w:t xml:space="preserve"> </w:t>
      </w:r>
      <w:r w:rsidR="008F5DA4" w:rsidRPr="003A7E70">
        <w:rPr>
          <w:sz w:val="28"/>
          <w:szCs w:val="28"/>
        </w:rPr>
        <w:t>«Об утверждении порядка определения</w:t>
      </w:r>
      <w:r w:rsidR="000016F7">
        <w:rPr>
          <w:sz w:val="28"/>
          <w:szCs w:val="28"/>
        </w:rPr>
        <w:t xml:space="preserve"> </w:t>
      </w:r>
      <w:r w:rsidR="008F5DA4" w:rsidRPr="003A7E70">
        <w:rPr>
          <w:sz w:val="28"/>
          <w:szCs w:val="28"/>
        </w:rPr>
        <w:t>размера арендной платы за использование земельных участков»</w:t>
      </w:r>
      <w:r w:rsidR="00D22703" w:rsidRPr="003A7E70">
        <w:rPr>
          <w:sz w:val="28"/>
          <w:szCs w:val="28"/>
        </w:rPr>
        <w:t>, изложив абзац 6 пункта 6 в следующей редакции:</w:t>
      </w:r>
    </w:p>
    <w:p w:rsidR="003A7E70" w:rsidRDefault="003A7E70" w:rsidP="00FE2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7E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7E70">
        <w:rPr>
          <w:rFonts w:ascii="Times New Roman" w:hAnsi="Times New Roman" w:cs="Times New Roman"/>
          <w:sz w:val="28"/>
          <w:szCs w:val="28"/>
        </w:rPr>
        <w:t>Уи</w:t>
      </w:r>
      <w:proofErr w:type="spellEnd"/>
      <w:r w:rsidRPr="003A7E70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размер уровня инфляции на очередной финансовый год. </w:t>
      </w:r>
      <w:proofErr w:type="gramStart"/>
      <w:r w:rsidRPr="003A7E70">
        <w:rPr>
          <w:rFonts w:ascii="Times New Roman" w:hAnsi="Times New Roman" w:cs="Times New Roman"/>
          <w:sz w:val="28"/>
          <w:szCs w:val="28"/>
        </w:rPr>
        <w:t>На 2012 год составляет 1.06, на 2013 год – 1,055, на 2014 год – 1,05, на 2015 год – 1,05, на 2016 год – 1.07, на 2017год- 1.06, на 2018 год – 1,04, на 2019 год – 1.043, на 2020год -1,038, на 2021 год- 1,04</w:t>
      </w:r>
      <w:r w:rsidR="00AB400C">
        <w:rPr>
          <w:rFonts w:ascii="Times New Roman" w:hAnsi="Times New Roman" w:cs="Times New Roman"/>
          <w:sz w:val="28"/>
          <w:szCs w:val="28"/>
        </w:rPr>
        <w:t>, на 2022 год -1,04</w:t>
      </w:r>
      <w:r w:rsidRPr="003A7E7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B400C" w:rsidRPr="00AB400C" w:rsidRDefault="00AB400C" w:rsidP="00AB4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400C">
        <w:rPr>
          <w:rFonts w:ascii="Times New Roman" w:hAnsi="Times New Roman" w:cs="Times New Roman"/>
          <w:sz w:val="28"/>
          <w:szCs w:val="28"/>
        </w:rPr>
        <w:t xml:space="preserve">       1.1 . В пункте 8:</w:t>
      </w:r>
    </w:p>
    <w:p w:rsidR="00AB400C" w:rsidRDefault="00AB400C" w:rsidP="00AB4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0C">
        <w:rPr>
          <w:rFonts w:ascii="Times New Roman" w:hAnsi="Times New Roman" w:cs="Times New Roman"/>
          <w:sz w:val="28"/>
          <w:szCs w:val="28"/>
        </w:rPr>
        <w:t xml:space="preserve">- пункты </w:t>
      </w:r>
      <w:r w:rsidR="00812BCC">
        <w:rPr>
          <w:rFonts w:ascii="Times New Roman" w:hAnsi="Times New Roman" w:cs="Times New Roman"/>
          <w:sz w:val="28"/>
          <w:szCs w:val="28"/>
        </w:rPr>
        <w:t xml:space="preserve">2.1; </w:t>
      </w:r>
      <w:r w:rsidR="008434F9">
        <w:rPr>
          <w:rFonts w:ascii="Times New Roman" w:hAnsi="Times New Roman" w:cs="Times New Roman"/>
          <w:sz w:val="28"/>
          <w:szCs w:val="28"/>
        </w:rPr>
        <w:t xml:space="preserve"> </w:t>
      </w:r>
      <w:r w:rsidR="00812BCC">
        <w:rPr>
          <w:rFonts w:ascii="Times New Roman" w:hAnsi="Times New Roman" w:cs="Times New Roman"/>
          <w:sz w:val="28"/>
          <w:szCs w:val="28"/>
        </w:rPr>
        <w:t>2.6;</w:t>
      </w:r>
      <w:r w:rsidR="008434F9">
        <w:rPr>
          <w:rFonts w:ascii="Times New Roman" w:hAnsi="Times New Roman" w:cs="Times New Roman"/>
          <w:sz w:val="28"/>
          <w:szCs w:val="28"/>
        </w:rPr>
        <w:t xml:space="preserve"> </w:t>
      </w:r>
      <w:r w:rsidRPr="00AB400C">
        <w:rPr>
          <w:rFonts w:ascii="Times New Roman" w:hAnsi="Times New Roman" w:cs="Times New Roman"/>
          <w:sz w:val="28"/>
          <w:szCs w:val="28"/>
        </w:rPr>
        <w:t xml:space="preserve"> </w:t>
      </w:r>
      <w:r w:rsidR="008434F9">
        <w:rPr>
          <w:rFonts w:ascii="Times New Roman" w:hAnsi="Times New Roman" w:cs="Times New Roman"/>
          <w:sz w:val="28"/>
          <w:szCs w:val="28"/>
        </w:rPr>
        <w:t xml:space="preserve">3.1.1;  </w:t>
      </w:r>
      <w:r w:rsidR="00812BCC">
        <w:rPr>
          <w:rFonts w:ascii="Times New Roman" w:hAnsi="Times New Roman" w:cs="Times New Roman"/>
          <w:sz w:val="28"/>
          <w:szCs w:val="28"/>
        </w:rPr>
        <w:t>3.3;</w:t>
      </w:r>
      <w:r w:rsidR="008434F9">
        <w:rPr>
          <w:rFonts w:ascii="Times New Roman" w:hAnsi="Times New Roman" w:cs="Times New Roman"/>
          <w:sz w:val="28"/>
          <w:szCs w:val="28"/>
        </w:rPr>
        <w:t xml:space="preserve"> 4.4;  4.9;  4.10.3; 4.10.4; 7; 16; 17</w:t>
      </w:r>
      <w:r w:rsidR="00812BCC">
        <w:rPr>
          <w:rFonts w:ascii="Times New Roman" w:hAnsi="Times New Roman" w:cs="Times New Roman"/>
          <w:sz w:val="28"/>
          <w:szCs w:val="28"/>
        </w:rPr>
        <w:t xml:space="preserve"> </w:t>
      </w:r>
      <w:r w:rsidRPr="00AB400C">
        <w:rPr>
          <w:rFonts w:ascii="Times New Roman" w:hAnsi="Times New Roman" w:cs="Times New Roman"/>
          <w:sz w:val="28"/>
          <w:szCs w:val="28"/>
        </w:rPr>
        <w:t xml:space="preserve"> таблицы ставок от кадастровой стоимости земельного участка, учитывающих вид разрешенного использования земель, установленных для земельных участков, государственная собственность на которые не разграничена, расположенных на территории Муниципального образования городское поселение пос. </w:t>
      </w:r>
      <w:proofErr w:type="spellStart"/>
      <w:r w:rsidRPr="00AB400C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AB400C">
        <w:rPr>
          <w:rFonts w:ascii="Times New Roman" w:hAnsi="Times New Roman" w:cs="Times New Roman"/>
          <w:sz w:val="28"/>
          <w:szCs w:val="28"/>
        </w:rPr>
        <w:t>, Александровского 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968A2">
        <w:rPr>
          <w:rFonts w:ascii="Times New Roman" w:hAnsi="Times New Roman" w:cs="Times New Roman"/>
          <w:sz w:val="26"/>
          <w:szCs w:val="26"/>
        </w:rPr>
        <w:t xml:space="preserve"> Владимирской </w:t>
      </w:r>
      <w:r w:rsidRPr="00AB400C">
        <w:rPr>
          <w:rFonts w:ascii="Times New Roman" w:hAnsi="Times New Roman" w:cs="Times New Roman"/>
          <w:sz w:val="28"/>
          <w:szCs w:val="28"/>
        </w:rPr>
        <w:t>области, изложить в следующей редакции:</w:t>
      </w:r>
      <w:proofErr w:type="gramEnd"/>
    </w:p>
    <w:p w:rsidR="00AB400C" w:rsidRDefault="00AB400C" w:rsidP="00AB4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452" w:rsidRDefault="00197452" w:rsidP="00AB4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452" w:rsidRPr="00AB400C" w:rsidRDefault="00197452" w:rsidP="00AB4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452" w:rsidRDefault="00197452" w:rsidP="00FE2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91D" w:rsidRDefault="005F691D" w:rsidP="00FE2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534"/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1042"/>
        <w:gridCol w:w="2475"/>
        <w:gridCol w:w="4288"/>
        <w:gridCol w:w="1569"/>
      </w:tblGrid>
      <w:tr w:rsidR="005F691D" w:rsidRPr="00FF3947" w:rsidTr="009455D8">
        <w:trPr>
          <w:trHeight w:hRule="exact" w:val="143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FF3947">
              <w:rPr>
                <w:rStyle w:val="2"/>
                <w:sz w:val="22"/>
                <w:szCs w:val="22"/>
              </w:rPr>
              <w:t>п</w:t>
            </w:r>
            <w:proofErr w:type="spellEnd"/>
            <w:proofErr w:type="gramEnd"/>
            <w:r w:rsidRPr="00FF3947">
              <w:rPr>
                <w:rStyle w:val="2"/>
                <w:sz w:val="22"/>
                <w:szCs w:val="22"/>
              </w:rPr>
              <w:t>/</w:t>
            </w:r>
            <w:proofErr w:type="spellStart"/>
            <w:r w:rsidRPr="00FF3947">
              <w:rPr>
                <w:rStyle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Вид разрешенного использования земельного участка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Описание вида разрешенного использования земельного участка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 xml:space="preserve">Ставка от </w:t>
            </w:r>
            <w:proofErr w:type="gramStart"/>
            <w:r w:rsidRPr="00FF3947">
              <w:rPr>
                <w:rStyle w:val="2"/>
                <w:sz w:val="22"/>
                <w:szCs w:val="22"/>
              </w:rPr>
              <w:t>кадастровой</w:t>
            </w:r>
            <w:proofErr w:type="gramEnd"/>
          </w:p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стоимости</w:t>
            </w:r>
          </w:p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земельного</w:t>
            </w:r>
          </w:p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участка</w:t>
            </w:r>
          </w:p>
        </w:tc>
      </w:tr>
      <w:tr w:rsidR="005F691D" w:rsidRPr="00FF3947" w:rsidTr="009455D8">
        <w:trPr>
          <w:trHeight w:hRule="exact" w:val="27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1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2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1D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F691D" w:rsidRPr="00FF3947" w:rsidTr="009455D8">
        <w:trPr>
          <w:trHeight w:hRule="exact" w:val="340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2.1.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</w:t>
            </w:r>
            <w:proofErr w:type="spellStart"/>
            <w:proofErr w:type="gramStart"/>
            <w:r w:rsidRPr="00FF3947">
              <w:rPr>
                <w:rStyle w:val="2"/>
                <w:sz w:val="22"/>
                <w:szCs w:val="22"/>
              </w:rPr>
              <w:t>встроенно</w:t>
            </w:r>
            <w:proofErr w:type="spellEnd"/>
            <w:r w:rsidRPr="00FF3947">
              <w:rPr>
                <w:rStyle w:val="2"/>
                <w:sz w:val="22"/>
                <w:szCs w:val="22"/>
              </w:rPr>
              <w:t>- пристроенных</w:t>
            </w:r>
            <w:proofErr w:type="gramEnd"/>
            <w:r w:rsidRPr="00FF3947">
              <w:rPr>
                <w:rStyle w:val="2"/>
                <w:sz w:val="22"/>
                <w:szCs w:val="22"/>
              </w:rPr>
              <w:t xml:space="preserve"> помещениях малоэтажного многоквартирного дома, если общая площадь таких помещений в малоэтажном многоквартирном доме не составляет более </w:t>
            </w:r>
            <w:r w:rsidRPr="00FF3947">
              <w:rPr>
                <w:rStyle w:val="2"/>
                <w:i/>
                <w:sz w:val="22"/>
                <w:szCs w:val="22"/>
              </w:rPr>
              <w:t xml:space="preserve">15 </w:t>
            </w:r>
            <w:r w:rsidRPr="00FF3947">
              <w:rPr>
                <w:rStyle w:val="BookAntiqua13pt"/>
                <w:rFonts w:cs="Times New Roman"/>
                <w:sz w:val="22"/>
                <w:szCs w:val="22"/>
              </w:rPr>
              <w:t>%</w:t>
            </w:r>
            <w:r w:rsidRPr="00FF3947">
              <w:rPr>
                <w:rStyle w:val="2"/>
                <w:sz w:val="22"/>
                <w:szCs w:val="22"/>
              </w:rPr>
              <w:t xml:space="preserve"> общей площади помещений дома:</w:t>
            </w:r>
          </w:p>
          <w:p w:rsidR="005F691D" w:rsidRPr="00FF3947" w:rsidRDefault="005F691D" w:rsidP="005F691D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в городских населенных пунктах;</w:t>
            </w:r>
          </w:p>
          <w:p w:rsidR="005F691D" w:rsidRPr="00FF3947" w:rsidRDefault="005F691D" w:rsidP="005F691D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в сельских населенных пунктах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1D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  <w:p w:rsidR="005F691D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F691D" w:rsidRPr="00FF3947" w:rsidTr="009455D8">
        <w:trPr>
          <w:trHeight w:hRule="exact" w:val="185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2.6.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Хранение</w:t>
            </w:r>
          </w:p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автотранспорта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F3947">
              <w:rPr>
                <w:rStyle w:val="2"/>
                <w:sz w:val="22"/>
                <w:szCs w:val="22"/>
              </w:rPr>
              <w:t>машино</w:t>
            </w:r>
            <w:r w:rsidRPr="00FF3947">
              <w:rPr>
                <w:rStyle w:val="2"/>
                <w:sz w:val="22"/>
                <w:szCs w:val="22"/>
              </w:rPr>
              <w:softHyphen/>
              <w:t>места</w:t>
            </w:r>
            <w:proofErr w:type="spellEnd"/>
            <w:r w:rsidRPr="00FF3947">
              <w:rPr>
                <w:rStyle w:val="2"/>
                <w:sz w:val="22"/>
                <w:szCs w:val="22"/>
              </w:rPr>
              <w:t>, за исключением гаражей, размещение которых предусмотрено содержанием вида разрешенного использования, указанного в пункте 4.9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2"/>
                <w:sz w:val="22"/>
                <w:szCs w:val="22"/>
              </w:rPr>
            </w:pPr>
          </w:p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2"/>
                <w:sz w:val="22"/>
                <w:szCs w:val="22"/>
              </w:rPr>
            </w:pPr>
          </w:p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11,0</w:t>
            </w:r>
          </w:p>
        </w:tc>
      </w:tr>
      <w:tr w:rsidR="005F691D" w:rsidRPr="00FF3947" w:rsidTr="009455D8">
        <w:trPr>
          <w:trHeight w:hRule="exact" w:val="327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3.1.1.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Предоставление коммунальных услуг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sz w:val="22"/>
                <w:szCs w:val="22"/>
              </w:rPr>
            </w:pPr>
            <w:proofErr w:type="gramStart"/>
            <w:r w:rsidRPr="00FF3947">
              <w:rPr>
                <w:rStyle w:val="2"/>
                <w:sz w:val="22"/>
                <w:szCs w:val="22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sz w:val="22"/>
                <w:szCs w:val="22"/>
              </w:rPr>
            </w:pPr>
          </w:p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sz w:val="22"/>
                <w:szCs w:val="22"/>
              </w:rPr>
            </w:pPr>
          </w:p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sz w:val="22"/>
                <w:szCs w:val="22"/>
              </w:rPr>
            </w:pPr>
          </w:p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5,0</w:t>
            </w:r>
          </w:p>
        </w:tc>
      </w:tr>
      <w:tr w:rsidR="005F691D" w:rsidRPr="00FF3947" w:rsidTr="009455D8">
        <w:trPr>
          <w:trHeight w:hRule="exact" w:val="157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3.3.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Бытовое</w:t>
            </w:r>
          </w:p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обслуживание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2"/>
                <w:sz w:val="22"/>
                <w:szCs w:val="22"/>
              </w:rPr>
            </w:pPr>
          </w:p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2"/>
                <w:sz w:val="22"/>
                <w:szCs w:val="22"/>
              </w:rPr>
            </w:pPr>
          </w:p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20,0</w:t>
            </w:r>
          </w:p>
        </w:tc>
      </w:tr>
      <w:tr w:rsidR="005F691D" w:rsidRPr="00FF3947" w:rsidTr="009455D8">
        <w:trPr>
          <w:trHeight w:hRule="exact" w:val="113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4.4.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Магазины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20,0</w:t>
            </w:r>
          </w:p>
        </w:tc>
      </w:tr>
      <w:tr w:rsidR="005F691D" w:rsidRPr="00FF3947" w:rsidTr="009455D8">
        <w:trPr>
          <w:trHeight w:hRule="exact" w:val="1993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4.9.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Служебные гаражи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использования, указанных в пунктах 3 - 4.11, а также для стоянки и хранения транспортных средств общего пользования, в том числе в депо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11,0</w:t>
            </w:r>
          </w:p>
        </w:tc>
      </w:tr>
      <w:tr w:rsidR="005F691D" w:rsidRPr="00FF3947" w:rsidTr="009455D8">
        <w:trPr>
          <w:trHeight w:hRule="exact" w:val="55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lastRenderedPageBreak/>
              <w:t>4.10.3.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Автомобильные мойки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Размещение автомобильных моек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13,0</w:t>
            </w:r>
          </w:p>
        </w:tc>
      </w:tr>
      <w:tr w:rsidR="005F691D" w:rsidRPr="00FF3947" w:rsidTr="009455D8">
        <w:trPr>
          <w:trHeight w:hRule="exact" w:val="858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4.10.4.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Ремонт автомобилей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11,0</w:t>
            </w:r>
          </w:p>
        </w:tc>
      </w:tr>
      <w:tr w:rsidR="005F691D" w:rsidRPr="00FF3947" w:rsidTr="009455D8">
        <w:trPr>
          <w:trHeight w:hRule="exact" w:val="3403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7.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Тяжелая</w:t>
            </w:r>
          </w:p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промышленность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 xml:space="preserve">Размещение объектов капитального строительства </w:t>
            </w:r>
            <w:proofErr w:type="spellStart"/>
            <w:proofErr w:type="gramStart"/>
            <w:r w:rsidRPr="00FF3947">
              <w:rPr>
                <w:rStyle w:val="2"/>
                <w:sz w:val="22"/>
                <w:szCs w:val="22"/>
              </w:rPr>
              <w:t>горно</w:t>
            </w:r>
            <w:proofErr w:type="spellEnd"/>
            <w:r w:rsidRPr="00FF3947">
              <w:rPr>
                <w:rStyle w:val="2"/>
                <w:sz w:val="22"/>
                <w:szCs w:val="22"/>
              </w:rPr>
              <w:t>- обогатительной</w:t>
            </w:r>
            <w:proofErr w:type="gramEnd"/>
            <w:r w:rsidRPr="00FF3947">
              <w:rPr>
                <w:rStyle w:val="2"/>
                <w:sz w:val="22"/>
                <w:szCs w:val="22"/>
              </w:rPr>
              <w:t xml:space="preserve"> и </w:t>
            </w:r>
            <w:proofErr w:type="spellStart"/>
            <w:r w:rsidRPr="00FF3947">
              <w:rPr>
                <w:rStyle w:val="2"/>
                <w:sz w:val="22"/>
                <w:szCs w:val="22"/>
              </w:rPr>
              <w:t>горно</w:t>
            </w:r>
            <w:r w:rsidRPr="00FF3947">
              <w:rPr>
                <w:rStyle w:val="2"/>
                <w:sz w:val="22"/>
                <w:szCs w:val="22"/>
              </w:rPr>
              <w:softHyphen/>
              <w:t>перерабатывающей</w:t>
            </w:r>
            <w:proofErr w:type="spellEnd"/>
            <w:r w:rsidRPr="00FF3947">
              <w:rPr>
                <w:rStyle w:val="2"/>
                <w:sz w:val="22"/>
                <w:szCs w:val="22"/>
              </w:rPr>
              <w:t xml:space="preserve">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</w:t>
            </w:r>
            <w:proofErr w:type="spellStart"/>
            <w:r w:rsidRPr="00FF3947">
              <w:rPr>
                <w:rStyle w:val="2"/>
                <w:sz w:val="22"/>
                <w:szCs w:val="22"/>
              </w:rPr>
              <w:t>другиеподобные</w:t>
            </w:r>
            <w:proofErr w:type="spellEnd"/>
            <w:r w:rsidRPr="00FF3947">
              <w:rPr>
                <w:rStyle w:val="2"/>
                <w:sz w:val="22"/>
                <w:szCs w:val="22"/>
              </w:rPr>
              <w:t xml:space="preserve">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1D" w:rsidRPr="00FF3947" w:rsidRDefault="005F691D" w:rsidP="009455D8">
            <w:pPr>
              <w:jc w:val="center"/>
              <w:rPr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5,0</w:t>
            </w:r>
          </w:p>
        </w:tc>
      </w:tr>
      <w:tr w:rsidR="005F691D" w:rsidRPr="00FF3947" w:rsidTr="009455D8">
        <w:trPr>
          <w:trHeight w:hRule="exact" w:val="285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16.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Связь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использования, указанных в пунктах 3.1.1, 3.2.3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2</w:t>
            </w:r>
            <w:r>
              <w:rPr>
                <w:rStyle w:val="2"/>
                <w:sz w:val="22"/>
                <w:szCs w:val="22"/>
              </w:rPr>
              <w:t>1</w:t>
            </w:r>
            <w:r w:rsidRPr="00FF3947">
              <w:rPr>
                <w:rStyle w:val="2"/>
                <w:sz w:val="22"/>
                <w:szCs w:val="22"/>
              </w:rPr>
              <w:t>0,0</w:t>
            </w:r>
          </w:p>
        </w:tc>
      </w:tr>
      <w:tr w:rsidR="005F691D" w:rsidRPr="00FF3947" w:rsidTr="009455D8">
        <w:trPr>
          <w:trHeight w:hRule="exact" w:val="312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17.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F3947">
              <w:rPr>
                <w:rStyle w:val="2"/>
                <w:sz w:val="22"/>
                <w:szCs w:val="22"/>
              </w:rPr>
              <w:t>Склады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FF3947">
              <w:rPr>
                <w:rStyle w:val="2"/>
                <w:sz w:val="22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1D" w:rsidRPr="00FF3947" w:rsidRDefault="005F691D" w:rsidP="009455D8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F3947">
              <w:rPr>
                <w:sz w:val="22"/>
                <w:szCs w:val="22"/>
              </w:rPr>
              <w:t>,0</w:t>
            </w:r>
          </w:p>
        </w:tc>
      </w:tr>
    </w:tbl>
    <w:p w:rsidR="005F691D" w:rsidRDefault="005F691D" w:rsidP="00FE2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91D" w:rsidRDefault="005F691D" w:rsidP="005F6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400C">
        <w:rPr>
          <w:sz w:val="28"/>
          <w:szCs w:val="28"/>
        </w:rPr>
        <w:t>2 Контроль за исполнением настоящего решения оставляю за собой.</w:t>
      </w:r>
    </w:p>
    <w:p w:rsidR="005F691D" w:rsidRPr="00AB400C" w:rsidRDefault="005F691D" w:rsidP="005F691D">
      <w:pPr>
        <w:jc w:val="both"/>
        <w:rPr>
          <w:sz w:val="28"/>
          <w:szCs w:val="28"/>
        </w:rPr>
      </w:pPr>
      <w:r w:rsidRPr="00AB400C">
        <w:rPr>
          <w:sz w:val="28"/>
          <w:szCs w:val="28"/>
        </w:rPr>
        <w:t xml:space="preserve"> 3.Настоящее решение вступает в силу </w:t>
      </w:r>
      <w:proofErr w:type="gramStart"/>
      <w:r w:rsidRPr="00AB400C">
        <w:rPr>
          <w:sz w:val="28"/>
          <w:szCs w:val="28"/>
        </w:rPr>
        <w:t>с</w:t>
      </w:r>
      <w:proofErr w:type="gramEnd"/>
      <w:r w:rsidRPr="00AB400C">
        <w:rPr>
          <w:sz w:val="28"/>
          <w:szCs w:val="28"/>
        </w:rPr>
        <w:t xml:space="preserve"> даты его официального опубликования </w:t>
      </w:r>
    </w:p>
    <w:p w:rsidR="005F691D" w:rsidRDefault="005F691D" w:rsidP="005F691D">
      <w:pPr>
        <w:jc w:val="both"/>
        <w:rPr>
          <w:sz w:val="28"/>
          <w:szCs w:val="28"/>
        </w:rPr>
      </w:pPr>
    </w:p>
    <w:p w:rsidR="005F691D" w:rsidRDefault="005F691D" w:rsidP="005F69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400C">
        <w:rPr>
          <w:sz w:val="28"/>
          <w:szCs w:val="28"/>
        </w:rPr>
        <w:t xml:space="preserve">Глава поселка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B400C">
        <w:rPr>
          <w:sz w:val="28"/>
          <w:szCs w:val="28"/>
        </w:rPr>
        <w:t xml:space="preserve">     С.Е.Данилов  </w:t>
      </w:r>
    </w:p>
    <w:p w:rsidR="00C57326" w:rsidRPr="00AB400C" w:rsidRDefault="00C57326" w:rsidP="00FE26CA">
      <w:pPr>
        <w:jc w:val="both"/>
        <w:rPr>
          <w:sz w:val="28"/>
          <w:szCs w:val="28"/>
        </w:rPr>
      </w:pPr>
      <w:r w:rsidRPr="00AB400C">
        <w:rPr>
          <w:sz w:val="28"/>
          <w:szCs w:val="28"/>
        </w:rPr>
        <w:t xml:space="preserve">     </w:t>
      </w:r>
    </w:p>
    <w:sectPr w:rsidR="00C57326" w:rsidRPr="00AB400C" w:rsidSect="005F69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14059"/>
    <w:multiLevelType w:val="multilevel"/>
    <w:tmpl w:val="C0A40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471"/>
    <w:rsid w:val="000016F7"/>
    <w:rsid w:val="00021B12"/>
    <w:rsid w:val="000A3D33"/>
    <w:rsid w:val="00120FE7"/>
    <w:rsid w:val="00197452"/>
    <w:rsid w:val="002C2A99"/>
    <w:rsid w:val="003A7E70"/>
    <w:rsid w:val="004472EA"/>
    <w:rsid w:val="004A0FDB"/>
    <w:rsid w:val="005F691D"/>
    <w:rsid w:val="0069539D"/>
    <w:rsid w:val="006F3400"/>
    <w:rsid w:val="00730AA3"/>
    <w:rsid w:val="00812BCC"/>
    <w:rsid w:val="008434F9"/>
    <w:rsid w:val="00870DE2"/>
    <w:rsid w:val="008F5DA4"/>
    <w:rsid w:val="00A411E5"/>
    <w:rsid w:val="00A44C29"/>
    <w:rsid w:val="00AB400C"/>
    <w:rsid w:val="00BD6753"/>
    <w:rsid w:val="00C27344"/>
    <w:rsid w:val="00C57326"/>
    <w:rsid w:val="00C64471"/>
    <w:rsid w:val="00D22703"/>
    <w:rsid w:val="00E01ABD"/>
    <w:rsid w:val="00E6188B"/>
    <w:rsid w:val="00F375B7"/>
    <w:rsid w:val="00FE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471"/>
    <w:rPr>
      <w:color w:val="0000FF"/>
      <w:u w:val="single"/>
    </w:rPr>
  </w:style>
  <w:style w:type="paragraph" w:customStyle="1" w:styleId="ConsPlusNormal">
    <w:name w:val="ConsPlusNormal"/>
    <w:rsid w:val="003A7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AB400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AB400C"/>
    <w:pPr>
      <w:widowControl w:val="0"/>
      <w:shd w:val="clear" w:color="auto" w:fill="FFFFFF"/>
      <w:spacing w:before="54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2">
    <w:name w:val="Основной текст2"/>
    <w:basedOn w:val="a4"/>
    <w:rsid w:val="00AB400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BookAntiqua13pt">
    <w:name w:val="Основной текст + Book Antiqua;13 pt;Полужирный;Курсив"/>
    <w:basedOn w:val="a4"/>
    <w:rsid w:val="00AB400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5FA68ADFB0396727E3295D55C4088FEF80C5D36EE4DDFDD95A92780E5DB4C13A80D5ACFDD54C893672AC09AA8370BC81701405B4hF0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19</cp:revision>
  <cp:lastPrinted>2021-12-24T12:35:00Z</cp:lastPrinted>
  <dcterms:created xsi:type="dcterms:W3CDTF">2020-12-23T10:32:00Z</dcterms:created>
  <dcterms:modified xsi:type="dcterms:W3CDTF">2021-12-27T05:10:00Z</dcterms:modified>
</cp:coreProperties>
</file>