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9567C5" w:rsidTr="001C1AAC">
        <w:trPr>
          <w:cantSplit/>
          <w:trHeight w:hRule="exact" w:val="426"/>
        </w:trPr>
        <w:tc>
          <w:tcPr>
            <w:tcW w:w="9852" w:type="dxa"/>
            <w:gridSpan w:val="2"/>
            <w:tcBorders>
              <w:top w:val="nil"/>
              <w:left w:val="nil"/>
              <w:bottom w:val="nil"/>
              <w:right w:val="nil"/>
            </w:tcBorders>
            <w:vAlign w:val="center"/>
          </w:tcPr>
          <w:p w:rsidR="00142DC0" w:rsidRPr="009567C5" w:rsidRDefault="00B2716A" w:rsidP="009567C5">
            <w:pPr>
              <w:jc w:val="right"/>
            </w:pPr>
            <w:r>
              <w:t>ПРОЕКТ</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Pr="00202351" w:rsidRDefault="00F83507">
            <w:pPr>
              <w:spacing w:line="400" w:lineRule="exact"/>
              <w:jc w:val="center"/>
              <w:rPr>
                <w:b/>
                <w:bCs/>
              </w:rPr>
            </w:pPr>
            <w:r w:rsidRPr="00202351">
              <w:rPr>
                <w:b/>
                <w:bCs/>
              </w:rPr>
              <w:t xml:space="preserve">АДМИНИСТРАЦИЯ </w:t>
            </w:r>
            <w:r w:rsidR="00142DC0" w:rsidRPr="00202351">
              <w:rPr>
                <w:b/>
                <w:bCs/>
              </w:rPr>
              <w:t>ПОСЕЛКА БАЛАКИРЕВО</w:t>
            </w:r>
          </w:p>
          <w:p w:rsidR="00142DC0" w:rsidRPr="00202351" w:rsidRDefault="00142DC0">
            <w:pPr>
              <w:spacing w:line="400" w:lineRule="exact"/>
              <w:jc w:val="center"/>
              <w:rPr>
                <w:b/>
                <w:bCs/>
              </w:rPr>
            </w:pPr>
            <w:r w:rsidRPr="00202351">
              <w:rPr>
                <w:b/>
                <w:bCs/>
              </w:rPr>
              <w:t>АЛЕКСАНДРОВСКОГО РАЙОНА</w:t>
            </w:r>
          </w:p>
          <w:p w:rsidR="00142DC0" w:rsidRPr="00202351" w:rsidRDefault="00142DC0">
            <w:pPr>
              <w:spacing w:line="400" w:lineRule="exact"/>
              <w:jc w:val="center"/>
              <w:rPr>
                <w:b/>
                <w:bCs/>
              </w:rPr>
            </w:pPr>
            <w:r w:rsidRPr="00202351">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B2716A">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1665BC">
              <w:rPr>
                <w:b w:val="0"/>
                <w:bCs w:val="0"/>
                <w:sz w:val="24"/>
                <w:szCs w:val="24"/>
              </w:rPr>
              <w:t>о</w:t>
            </w:r>
            <w:r w:rsidR="00087624">
              <w:rPr>
                <w:b w:val="0"/>
                <w:bCs w:val="0"/>
                <w:sz w:val="24"/>
                <w:szCs w:val="24"/>
              </w:rPr>
              <w:t>т</w:t>
            </w:r>
            <w:r w:rsidR="001665BC">
              <w:rPr>
                <w:b w:val="0"/>
                <w:bCs w:val="0"/>
                <w:sz w:val="24"/>
                <w:szCs w:val="24"/>
              </w:rPr>
              <w:t xml:space="preserve"> </w:t>
            </w:r>
          </w:p>
        </w:tc>
        <w:tc>
          <w:tcPr>
            <w:tcW w:w="4984" w:type="dxa"/>
            <w:tcBorders>
              <w:top w:val="nil"/>
              <w:left w:val="nil"/>
              <w:bottom w:val="nil"/>
              <w:right w:val="nil"/>
            </w:tcBorders>
            <w:vAlign w:val="center"/>
          </w:tcPr>
          <w:p w:rsidR="00142DC0" w:rsidRPr="00BB2CDF" w:rsidRDefault="00762283" w:rsidP="00B271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охраняемым </w:t>
      </w:r>
    </w:p>
    <w:p w:rsidR="00B60553" w:rsidRDefault="00B60553" w:rsidP="00B60553">
      <w:pPr>
        <w:rPr>
          <w:i/>
          <w:sz w:val="24"/>
          <w:szCs w:val="24"/>
        </w:rPr>
      </w:pPr>
      <w:r w:rsidRPr="00B60553">
        <w:rPr>
          <w:i/>
          <w:sz w:val="24"/>
          <w:szCs w:val="24"/>
        </w:rPr>
        <w:t xml:space="preserve">законом ценностям в сфере муниципального контроля </w:t>
      </w:r>
    </w:p>
    <w:p w:rsidR="00B60553" w:rsidRDefault="00B60553" w:rsidP="00B60553">
      <w:pPr>
        <w:rPr>
          <w:i/>
          <w:sz w:val="24"/>
          <w:szCs w:val="24"/>
        </w:rPr>
      </w:pPr>
      <w:r w:rsidRPr="00B60553">
        <w:rPr>
          <w:i/>
          <w:sz w:val="24"/>
          <w:szCs w:val="24"/>
        </w:rPr>
        <w:t xml:space="preserve">на автомобильном транспорте, городском наземном </w:t>
      </w:r>
    </w:p>
    <w:p w:rsidR="00B60553" w:rsidRDefault="00B60553" w:rsidP="00B60553">
      <w:pPr>
        <w:rPr>
          <w:i/>
          <w:sz w:val="24"/>
          <w:szCs w:val="24"/>
        </w:rPr>
      </w:pPr>
      <w:r w:rsidRPr="00B60553">
        <w:rPr>
          <w:i/>
          <w:sz w:val="24"/>
          <w:szCs w:val="24"/>
        </w:rPr>
        <w:t xml:space="preserve">электрическом транспорте и в дорожном хозяйстве </w:t>
      </w:r>
    </w:p>
    <w:p w:rsidR="00B60553" w:rsidRDefault="00B60553" w:rsidP="00B60553">
      <w:pPr>
        <w:rPr>
          <w:i/>
          <w:sz w:val="24"/>
          <w:szCs w:val="24"/>
        </w:rPr>
      </w:pPr>
      <w:r w:rsidRPr="00B60553">
        <w:rPr>
          <w:i/>
          <w:sz w:val="24"/>
          <w:szCs w:val="24"/>
        </w:rPr>
        <w:t xml:space="preserve">на территории </w:t>
      </w:r>
      <w:r>
        <w:rPr>
          <w:i/>
          <w:sz w:val="24"/>
          <w:szCs w:val="24"/>
        </w:rPr>
        <w:t xml:space="preserve">муниципального образования поселок </w:t>
      </w:r>
    </w:p>
    <w:p w:rsidR="00B60553" w:rsidRPr="00B60553" w:rsidRDefault="00B60553" w:rsidP="00B60553">
      <w:pPr>
        <w:rPr>
          <w:i/>
          <w:sz w:val="24"/>
          <w:szCs w:val="24"/>
        </w:rPr>
      </w:pPr>
      <w:r>
        <w:rPr>
          <w:i/>
          <w:sz w:val="24"/>
          <w:szCs w:val="24"/>
        </w:rPr>
        <w:t>Балакирево</w:t>
      </w:r>
      <w:r w:rsidRPr="00B60553">
        <w:rPr>
          <w:i/>
          <w:sz w:val="24"/>
          <w:szCs w:val="24"/>
        </w:rPr>
        <w:t xml:space="preserve"> на 202</w:t>
      </w:r>
      <w:r w:rsidR="00245188">
        <w:rPr>
          <w:i/>
          <w:sz w:val="24"/>
          <w:szCs w:val="24"/>
        </w:rPr>
        <w:t>4</w:t>
      </w:r>
      <w:r w:rsidRPr="00B60553">
        <w:rPr>
          <w:i/>
          <w:sz w:val="24"/>
          <w:szCs w:val="24"/>
        </w:rPr>
        <w:t xml:space="preserve">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Балакирево на 202</w:t>
      </w:r>
      <w:r w:rsidR="00245188">
        <w:t>4</w:t>
      </w:r>
      <w:r w:rsidR="00B60553" w:rsidRPr="00B60553">
        <w:t xml:space="preserve"> год</w:t>
      </w:r>
      <w:r w:rsidR="00B60553">
        <w:t>.</w:t>
      </w:r>
    </w:p>
    <w:p w:rsidR="00BE094E" w:rsidRDefault="00CD15B0" w:rsidP="00B60553">
      <w:pPr>
        <w:pStyle w:val="affff1"/>
        <w:numPr>
          <w:ilvl w:val="0"/>
          <w:numId w:val="34"/>
        </w:numPr>
        <w:ind w:left="0" w:firstLine="709"/>
        <w:jc w:val="both"/>
      </w:pPr>
      <w:r>
        <w:t xml:space="preserve">Контроль за выполнением настоящего постановления </w:t>
      </w:r>
      <w:r w:rsidR="00995D0F">
        <w:t>оставляю за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065876" w:rsidRDefault="000C2E64" w:rsidP="00204423">
      <w:r>
        <w:t>Глав</w:t>
      </w:r>
      <w:r w:rsidR="00245188">
        <w:t>а</w:t>
      </w:r>
      <w:r>
        <w:t xml:space="preserve"> администрации                                                            </w:t>
      </w:r>
      <w:r w:rsidR="00245188">
        <w:t xml:space="preserve">     </w:t>
      </w:r>
      <w:r>
        <w:t xml:space="preserve">     </w:t>
      </w:r>
      <w:r w:rsidR="00245188">
        <w:t>В.А. Барсков</w:t>
      </w:r>
    </w:p>
    <w:p w:rsidR="00065876" w:rsidRDefault="00065876" w:rsidP="00204423"/>
    <w:p w:rsidR="00065876" w:rsidRDefault="00065876" w:rsidP="00204423"/>
    <w:p w:rsidR="001C1AAC" w:rsidRDefault="001C1AAC" w:rsidP="00204423"/>
    <w:p w:rsidR="001C1AAC" w:rsidRDefault="001C1AAC" w:rsidP="00204423"/>
    <w:p w:rsidR="00245188" w:rsidRDefault="00245188" w:rsidP="00204423"/>
    <w:p w:rsidR="006D4358" w:rsidRDefault="00065876" w:rsidP="00065876">
      <w:pPr>
        <w:tabs>
          <w:tab w:val="left" w:pos="0"/>
        </w:tabs>
        <w:rPr>
          <w:b/>
          <w:bCs/>
        </w:rPr>
      </w:pPr>
      <w:r>
        <w:rPr>
          <w:b/>
          <w:bCs/>
        </w:rPr>
        <w:lastRenderedPageBreak/>
        <w:t xml:space="preserve">                                                                                              </w:t>
      </w:r>
    </w:p>
    <w:p w:rsidR="00065876" w:rsidRPr="00065876" w:rsidRDefault="00065876" w:rsidP="006D4358">
      <w:pPr>
        <w:tabs>
          <w:tab w:val="left" w:pos="0"/>
        </w:tabs>
        <w:jc w:val="right"/>
      </w:pP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п.Балакирево</w:t>
      </w:r>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sidR="00D579FB">
        <w:rPr>
          <w:bCs/>
          <w:sz w:val="24"/>
          <w:szCs w:val="24"/>
        </w:rPr>
        <w:t xml:space="preserve"> </w:t>
      </w:r>
      <w:r w:rsidR="00B2716A">
        <w:rPr>
          <w:bCs/>
          <w:sz w:val="24"/>
          <w:szCs w:val="24"/>
        </w:rPr>
        <w:t xml:space="preserve">                    </w:t>
      </w:r>
      <w:r w:rsidR="00D579FB">
        <w:rPr>
          <w:bCs/>
          <w:sz w:val="24"/>
          <w:szCs w:val="24"/>
        </w:rPr>
        <w:t xml:space="preserve"> </w:t>
      </w:r>
      <w:r w:rsidRPr="0060453B">
        <w:rPr>
          <w:bCs/>
          <w:sz w:val="24"/>
          <w:szCs w:val="24"/>
        </w:rPr>
        <w:t>№</w:t>
      </w:r>
      <w:r w:rsidR="00D579FB">
        <w:rPr>
          <w:bCs/>
          <w:sz w:val="24"/>
          <w:szCs w:val="24"/>
        </w:rPr>
        <w:t xml:space="preserve"> </w:t>
      </w:r>
    </w:p>
    <w:p w:rsidR="00065876" w:rsidRDefault="00065876" w:rsidP="00065876">
      <w:pPr>
        <w:spacing w:line="240" w:lineRule="exact"/>
        <w:jc w:val="center"/>
        <w:rPr>
          <w:b/>
          <w:bCs/>
        </w:rPr>
      </w:pPr>
    </w:p>
    <w:p w:rsidR="00065876" w:rsidRPr="0019149B" w:rsidRDefault="00065876" w:rsidP="00065876">
      <w:pPr>
        <w:spacing w:line="240" w:lineRule="exact"/>
        <w:jc w:val="center"/>
        <w:rPr>
          <w:b/>
          <w:bCs/>
        </w:rPr>
      </w:pPr>
    </w:p>
    <w:p w:rsidR="00202351" w:rsidRPr="00202351" w:rsidRDefault="00202351" w:rsidP="00202351">
      <w:pPr>
        <w:pStyle w:val="affff3"/>
        <w:jc w:val="center"/>
        <w:rPr>
          <w:rFonts w:ascii="Times New Roman" w:hAnsi="Times New Roman" w:cs="Times New Roman"/>
          <w:b/>
          <w:sz w:val="24"/>
          <w:szCs w:val="24"/>
        </w:rPr>
      </w:pPr>
      <w:r w:rsidRPr="00202351">
        <w:rPr>
          <w:rFonts w:ascii="Times New Roman" w:hAnsi="Times New Roman" w:cs="Times New Roman"/>
          <w:b/>
          <w:sz w:val="24"/>
          <w:szCs w:val="24"/>
        </w:rPr>
        <w:t xml:space="preserve">Программа профилактики </w:t>
      </w:r>
    </w:p>
    <w:p w:rsidR="00202351" w:rsidRPr="00202351" w:rsidRDefault="00202351" w:rsidP="00202351">
      <w:pPr>
        <w:pStyle w:val="affff3"/>
        <w:jc w:val="center"/>
        <w:rPr>
          <w:rFonts w:ascii="Times New Roman" w:hAnsi="Times New Roman" w:cs="Times New Roman"/>
          <w:b/>
          <w:sz w:val="24"/>
          <w:szCs w:val="24"/>
        </w:rPr>
      </w:pPr>
      <w:r w:rsidRPr="00202351">
        <w:rPr>
          <w:rFonts w:ascii="Times New Roman" w:hAnsi="Times New Roman" w:cs="Times New Roman"/>
          <w:b/>
          <w:sz w:val="24"/>
          <w:szCs w:val="24"/>
        </w:rPr>
        <w:t>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поселок Балакирево на 2024 год</w:t>
      </w:r>
    </w:p>
    <w:p w:rsidR="00202351" w:rsidRPr="00345D9D" w:rsidRDefault="00202351" w:rsidP="00202351">
      <w:pPr>
        <w:pStyle w:val="affff3"/>
        <w:jc w:val="both"/>
        <w:rPr>
          <w:rFonts w:ascii="Times New Roman" w:hAnsi="Times New Roman" w:cs="Times New Roman"/>
          <w:sz w:val="24"/>
          <w:szCs w:val="24"/>
        </w:rPr>
      </w:pPr>
    </w:p>
    <w:p w:rsidR="00202351" w:rsidRDefault="00202351" w:rsidP="00202351">
      <w:pPr>
        <w:pStyle w:val="affff3"/>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профилактики рисков причинения вреда (ущерба) охраняемым законом ценностям в сфере муниципального контроля </w:t>
      </w:r>
      <w:r w:rsidRPr="00FA4C4E">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4"/>
          <w:szCs w:val="24"/>
        </w:rPr>
        <w:t xml:space="preserve"> (далее – программа профилактики) на 2024 год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02351" w:rsidRDefault="00202351" w:rsidP="00202351">
      <w:pPr>
        <w:pStyle w:val="affff3"/>
        <w:ind w:firstLine="709"/>
        <w:jc w:val="both"/>
        <w:rPr>
          <w:rFonts w:ascii="Times New Roman" w:hAnsi="Times New Roman" w:cs="Times New Roman"/>
          <w:sz w:val="24"/>
          <w:szCs w:val="24"/>
        </w:rPr>
      </w:pPr>
      <w:r>
        <w:rPr>
          <w:rFonts w:ascii="Times New Roman" w:hAnsi="Times New Roman" w:cs="Times New Roman"/>
          <w:sz w:val="24"/>
          <w:szCs w:val="24"/>
        </w:rPr>
        <w:t xml:space="preserve">2. Профилактика рисков причинения вреда (ущерба) охраняемым законом ценностям проводится в рамках осуществления муниципального </w:t>
      </w:r>
      <w:r w:rsidRPr="00D84B33">
        <w:rPr>
          <w:rFonts w:ascii="Times New Roman" w:hAnsi="Times New Roman" w:cs="Times New Roman"/>
          <w:sz w:val="24"/>
          <w:szCs w:val="24"/>
        </w:rPr>
        <w:t xml:space="preserve">контроля </w:t>
      </w:r>
      <w:r w:rsidRPr="00FA4C4E">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p>
    <w:p w:rsidR="00202351" w:rsidRDefault="00202351" w:rsidP="00202351">
      <w:pPr>
        <w:pStyle w:val="affff3"/>
        <w:ind w:firstLine="709"/>
        <w:jc w:val="both"/>
        <w:rPr>
          <w:rFonts w:ascii="Times New Roman" w:hAnsi="Times New Roman" w:cs="Times New Roman"/>
          <w:sz w:val="24"/>
          <w:szCs w:val="24"/>
        </w:rPr>
      </w:pPr>
      <w:r>
        <w:rPr>
          <w:rFonts w:ascii="Times New Roman" w:hAnsi="Times New Roman" w:cs="Times New Roman"/>
          <w:sz w:val="24"/>
          <w:szCs w:val="24"/>
        </w:rPr>
        <w:t xml:space="preserve">3. Программа профилактики реализуется в 2024 году и содержит информацию о текущем состоянии осуществления муниципального </w:t>
      </w:r>
      <w:r w:rsidRPr="00D84B33">
        <w:rPr>
          <w:rFonts w:ascii="Times New Roman" w:hAnsi="Times New Roman" w:cs="Times New Roman"/>
          <w:sz w:val="24"/>
          <w:szCs w:val="24"/>
        </w:rPr>
        <w:t>контроля</w:t>
      </w:r>
      <w:r>
        <w:rPr>
          <w:rFonts w:ascii="Times New Roman" w:hAnsi="Times New Roman" w:cs="Times New Roman"/>
          <w:sz w:val="24"/>
          <w:szCs w:val="24"/>
        </w:rPr>
        <w:t>, перечень профилактических мероприятий на 2024 год.</w:t>
      </w:r>
    </w:p>
    <w:p w:rsidR="00202351" w:rsidRDefault="00202351" w:rsidP="00202351">
      <w:pPr>
        <w:pStyle w:val="affff3"/>
        <w:rPr>
          <w:rFonts w:ascii="Times New Roman" w:hAnsi="Times New Roman" w:cs="Times New Roman"/>
          <w:b/>
          <w:sz w:val="24"/>
          <w:szCs w:val="24"/>
        </w:rPr>
      </w:pPr>
    </w:p>
    <w:p w:rsidR="00202351" w:rsidRPr="00345D9D" w:rsidRDefault="00202351" w:rsidP="00202351">
      <w:pPr>
        <w:pStyle w:val="affff3"/>
        <w:jc w:val="center"/>
        <w:rPr>
          <w:rFonts w:ascii="Times New Roman" w:hAnsi="Times New Roman" w:cs="Times New Roman"/>
          <w:b/>
          <w:sz w:val="24"/>
          <w:szCs w:val="24"/>
        </w:rPr>
      </w:pPr>
      <w:r w:rsidRPr="00345D9D">
        <w:rPr>
          <w:rFonts w:ascii="Times New Roman" w:hAnsi="Times New Roman" w:cs="Times New Roman"/>
          <w:b/>
          <w:sz w:val="24"/>
          <w:szCs w:val="24"/>
        </w:rPr>
        <w:t xml:space="preserve">Раздел 1. Анализ текущего состояния осуществления муниципального контроля, описание текущего уровня развития профилактической деятельности, характеристика проблем, на решение которых направлена программа профилактики </w:t>
      </w:r>
    </w:p>
    <w:p w:rsidR="00202351" w:rsidRPr="00202351" w:rsidRDefault="00202351" w:rsidP="00202351">
      <w:pPr>
        <w:pStyle w:val="affff3"/>
        <w:ind w:firstLine="709"/>
        <w:jc w:val="both"/>
        <w:rPr>
          <w:rFonts w:ascii="Times New Roman" w:hAnsi="Times New Roman" w:cs="Times New Roman"/>
          <w:sz w:val="24"/>
          <w:szCs w:val="24"/>
        </w:rPr>
      </w:pPr>
      <w:r w:rsidRPr="00345D9D">
        <w:rPr>
          <w:rFonts w:ascii="Times New Roman" w:hAnsi="Times New Roman" w:cs="Times New Roman"/>
          <w:sz w:val="24"/>
          <w:szCs w:val="24"/>
        </w:rPr>
        <w:t xml:space="preserve">1.1. Муниципальный </w:t>
      </w:r>
      <w:r w:rsidRPr="00D84B33">
        <w:rPr>
          <w:rFonts w:ascii="Times New Roman" w:hAnsi="Times New Roman" w:cs="Times New Roman"/>
          <w:sz w:val="24"/>
          <w:szCs w:val="24"/>
        </w:rPr>
        <w:t>контрол</w:t>
      </w:r>
      <w:r>
        <w:rPr>
          <w:rFonts w:ascii="Times New Roman" w:hAnsi="Times New Roman" w:cs="Times New Roman"/>
          <w:sz w:val="24"/>
          <w:szCs w:val="24"/>
        </w:rPr>
        <w:t>ь</w:t>
      </w:r>
      <w:r w:rsidRPr="00D84B33">
        <w:rPr>
          <w:rFonts w:ascii="Times New Roman" w:hAnsi="Times New Roman" w:cs="Times New Roman"/>
          <w:sz w:val="24"/>
          <w:szCs w:val="24"/>
        </w:rPr>
        <w:t xml:space="preserve"> </w:t>
      </w:r>
      <w:r w:rsidRPr="00345D9D">
        <w:rPr>
          <w:rFonts w:ascii="Times New Roman" w:hAnsi="Times New Roman" w:cs="Times New Roman"/>
          <w:sz w:val="24"/>
          <w:szCs w:val="24"/>
        </w:rPr>
        <w:t xml:space="preserve">осуществляется отделом муниципального контроля Администрации муниципального образования </w:t>
      </w:r>
      <w:r>
        <w:rPr>
          <w:rFonts w:ascii="Times New Roman" w:hAnsi="Times New Roman" w:cs="Times New Roman"/>
          <w:sz w:val="24"/>
          <w:szCs w:val="24"/>
        </w:rPr>
        <w:t xml:space="preserve">поселка Балакирево Александровского района Владимирской области </w:t>
      </w:r>
      <w:r w:rsidRPr="00202351">
        <w:rPr>
          <w:rFonts w:ascii="Times New Roman" w:hAnsi="Times New Roman" w:cs="Times New Roman"/>
          <w:sz w:val="24"/>
          <w:szCs w:val="24"/>
        </w:rPr>
        <w:t>на основании Положения о муниципальном контроле</w:t>
      </w:r>
      <w:r w:rsidRPr="00202351">
        <w:t xml:space="preserve"> </w:t>
      </w:r>
      <w:r w:rsidRPr="00202351">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утвержденного Решением Совета депутатов муниципального образования п. Балакирево Александровского района от 18 ноября 2021 года № 36.</w:t>
      </w:r>
    </w:p>
    <w:p w:rsidR="00202351" w:rsidRPr="00202351" w:rsidRDefault="00202351" w:rsidP="00202351">
      <w:pPr>
        <w:pStyle w:val="affff3"/>
        <w:ind w:firstLine="709"/>
        <w:jc w:val="both"/>
        <w:rPr>
          <w:rFonts w:ascii="Times New Roman" w:hAnsi="Times New Roman" w:cs="Times New Roman"/>
          <w:sz w:val="24"/>
          <w:szCs w:val="24"/>
        </w:rPr>
      </w:pPr>
      <w:r w:rsidRPr="00345D9D">
        <w:rPr>
          <w:rFonts w:ascii="Times New Roman" w:hAnsi="Times New Roman" w:cs="Times New Roman"/>
          <w:sz w:val="24"/>
          <w:szCs w:val="24"/>
        </w:rPr>
        <w:t>1.</w:t>
      </w:r>
      <w:r w:rsidRPr="00202351">
        <w:rPr>
          <w:rFonts w:ascii="Times New Roman" w:hAnsi="Times New Roman" w:cs="Times New Roman"/>
          <w:sz w:val="24"/>
          <w:szCs w:val="24"/>
        </w:rPr>
        <w:t>2. Предметом муниципального контроля является соблюдение контролируемыми лицами обязательных требований, установленных действующим законодательством.</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1.3. Сведения о проведенных в 2023 году мероприятиях по профилактике нарушений обязательных требований:</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на официальном сайте муниципального образования администрации поселка Балакирево Александровского района Владимирской области размещены перечни нормативных правовых актов, содержащих обязательные требования, соблюдение которых оценивается при осуществлении муниципального контроля, а также тезисы данных правовых актов. Перечни нормативных правовых актов и тексты этих актов поддерживаются в актуальном состоянии;</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на постоянной основе осуществляется прием и консультации граждан и юридических лиц по вопросам соблюдения обязательный требований;</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объявлено 0 предостережения о недопустимости нарушения обязательных требований.</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Анализ показателей, характеризующих состояние подконтрольной среды, свидетельствует, что причинами и условиями нарушений обязательных требований являются отсутствие необходимого уровня знаний требований законодательства у граждан, большой объем нормативных правовых актов, регулирующих сферу деятельности подконтрольных субъектов и их систематическое изменение.</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 xml:space="preserve">С целью решения данных проблем Администрация муниципального образования поселка Балакирево Александровского района Владимирской области продолжит </w:t>
      </w:r>
      <w:r w:rsidRPr="00202351">
        <w:rPr>
          <w:rFonts w:ascii="Times New Roman" w:hAnsi="Times New Roman" w:cs="Times New Roman"/>
          <w:sz w:val="24"/>
          <w:szCs w:val="24"/>
        </w:rPr>
        <w:lastRenderedPageBreak/>
        <w:t xml:space="preserve">профилактическую работу, с целью повышения уровня информированности подконтрольных субъектов по вопросам соблюдения обязательных требований, обеспечения доступности сведений о применении обязательных требований, обеспечения взаимодействия с подконтрольными субъектами и повышения уровня доверия подконтрольных субъектов к органу муниципального контроля, повышения уровня правовой грамотности подконтрольных субъектов, обеспечения единообразия понимания предмета контроля подконтрольными субъектами, мотивации подконтрольных субъектов к добросовестному поведению и сознательному соблюдению обязательных требований. </w:t>
      </w:r>
    </w:p>
    <w:p w:rsidR="00202351" w:rsidRPr="00202351" w:rsidRDefault="00202351" w:rsidP="00202351">
      <w:pPr>
        <w:pStyle w:val="affff3"/>
        <w:jc w:val="both"/>
        <w:rPr>
          <w:rFonts w:ascii="Times New Roman" w:hAnsi="Times New Roman" w:cs="Times New Roman"/>
          <w:sz w:val="24"/>
          <w:szCs w:val="24"/>
        </w:rPr>
      </w:pPr>
    </w:p>
    <w:p w:rsidR="00202351" w:rsidRPr="00202351" w:rsidRDefault="00202351" w:rsidP="00202351">
      <w:pPr>
        <w:pStyle w:val="affff3"/>
        <w:jc w:val="center"/>
        <w:rPr>
          <w:rFonts w:ascii="Times New Roman" w:hAnsi="Times New Roman" w:cs="Times New Roman"/>
          <w:b/>
          <w:sz w:val="24"/>
          <w:szCs w:val="24"/>
        </w:rPr>
      </w:pPr>
      <w:r w:rsidRPr="00202351">
        <w:rPr>
          <w:rFonts w:ascii="Times New Roman" w:hAnsi="Times New Roman" w:cs="Times New Roman"/>
          <w:b/>
          <w:sz w:val="24"/>
          <w:szCs w:val="24"/>
        </w:rPr>
        <w:t>Раздел 2. Цели и задачи реализации программы профилактики рисков причинения вреда (ущерба) охраняемым законом ценностям</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2.1. Целями профилактической работы являются:</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предупреждение нарушений контролируемыми лицами обязательных требований, установленных законодательством;</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устранение причин, факторов и условий, способствующих нарушениям обязательных требований, установленных законодательством;</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стимулирование добросовестного соблюдения обязательных требований всеми контролируемыми лицами;</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повышение прозрачности системы муниципального контроля и эффективности осуществления контрольно-надзорной деятельности.</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2.2. Основными задачами профилактической работы являются:</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выявление причин, факторов и условий, способствующих нарушениям обязательных требований, установленных законодательством;</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оценка состояния подконтрольной сферы и 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осуществление планирования и проведения профилактики нарушений обязательных требований на основе принципов их понятности, информационной открытости, вовлеченности подконтрольных субъектов, а также обязательности, актуальности, периодичности профилактических мероприятий.</w:t>
      </w:r>
    </w:p>
    <w:p w:rsidR="00202351" w:rsidRPr="00202351" w:rsidRDefault="00202351" w:rsidP="00202351">
      <w:pPr>
        <w:pStyle w:val="affff3"/>
        <w:ind w:firstLine="709"/>
        <w:jc w:val="both"/>
        <w:rPr>
          <w:rFonts w:ascii="Times New Roman" w:hAnsi="Times New Roman" w:cs="Times New Roman"/>
          <w:sz w:val="24"/>
          <w:szCs w:val="24"/>
        </w:rPr>
      </w:pPr>
    </w:p>
    <w:p w:rsidR="00202351" w:rsidRPr="00202351" w:rsidRDefault="00202351" w:rsidP="00202351">
      <w:pPr>
        <w:pStyle w:val="affff3"/>
        <w:ind w:firstLine="709"/>
        <w:jc w:val="center"/>
        <w:rPr>
          <w:rFonts w:ascii="Times New Roman" w:hAnsi="Times New Roman" w:cs="Times New Roman"/>
          <w:b/>
          <w:sz w:val="24"/>
          <w:szCs w:val="24"/>
        </w:rPr>
      </w:pPr>
      <w:r w:rsidRPr="00202351">
        <w:rPr>
          <w:rFonts w:ascii="Times New Roman" w:hAnsi="Times New Roman" w:cs="Times New Roman"/>
          <w:b/>
          <w:sz w:val="24"/>
          <w:szCs w:val="24"/>
        </w:rPr>
        <w:t>Раздел 3. Перечень профилактических мероприятий, сроки (периодичность) из проведения</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3.1. При осуществлении муниципального контроля проводятся следующие профилактические мероприятия:</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1) информирование;</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2) обобщение правоприменительной практики;</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3) объявление предостережения о недопустимости нарушения обязательных требований</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4) консультирование;</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5) профилактический визит.</w:t>
      </w:r>
    </w:p>
    <w:p w:rsidR="00202351" w:rsidRPr="00202351" w:rsidRDefault="00202351" w:rsidP="00202351">
      <w:pPr>
        <w:pStyle w:val="affff3"/>
        <w:ind w:firstLine="709"/>
        <w:jc w:val="both"/>
        <w:rPr>
          <w:rFonts w:ascii="Times New Roman" w:hAnsi="Times New Roman" w:cs="Times New Roman"/>
          <w:sz w:val="24"/>
          <w:szCs w:val="24"/>
        </w:rPr>
      </w:pPr>
    </w:p>
    <w:tbl>
      <w:tblPr>
        <w:tblStyle w:val="afff4"/>
        <w:tblW w:w="0" w:type="auto"/>
        <w:tblLook w:val="04A0"/>
      </w:tblPr>
      <w:tblGrid>
        <w:gridCol w:w="675"/>
        <w:gridCol w:w="2131"/>
        <w:gridCol w:w="2940"/>
        <w:gridCol w:w="1914"/>
        <w:gridCol w:w="1915"/>
      </w:tblGrid>
      <w:tr w:rsidR="00202351" w:rsidRPr="00202351" w:rsidTr="0019036B">
        <w:tc>
          <w:tcPr>
            <w:tcW w:w="675" w:type="dxa"/>
          </w:tcPr>
          <w:p w:rsidR="00202351" w:rsidRPr="00202351" w:rsidRDefault="00202351" w:rsidP="0019036B">
            <w:pPr>
              <w:pStyle w:val="affff3"/>
              <w:rPr>
                <w:rFonts w:ascii="Times New Roman" w:hAnsi="Times New Roman" w:cs="Times New Roman"/>
                <w:b/>
                <w:sz w:val="20"/>
                <w:szCs w:val="20"/>
              </w:rPr>
            </w:pPr>
            <w:r w:rsidRPr="00202351">
              <w:rPr>
                <w:rFonts w:ascii="Times New Roman" w:hAnsi="Times New Roman" w:cs="Times New Roman"/>
                <w:b/>
                <w:sz w:val="20"/>
                <w:szCs w:val="20"/>
              </w:rPr>
              <w:t>№ п/п</w:t>
            </w:r>
          </w:p>
        </w:tc>
        <w:tc>
          <w:tcPr>
            <w:tcW w:w="2127" w:type="dxa"/>
          </w:tcPr>
          <w:p w:rsidR="00202351" w:rsidRPr="00202351" w:rsidRDefault="00202351" w:rsidP="0019036B">
            <w:pPr>
              <w:pStyle w:val="affff3"/>
              <w:rPr>
                <w:rFonts w:ascii="Times New Roman" w:hAnsi="Times New Roman" w:cs="Times New Roman"/>
                <w:b/>
                <w:sz w:val="20"/>
                <w:szCs w:val="20"/>
              </w:rPr>
            </w:pPr>
            <w:r w:rsidRPr="00202351">
              <w:rPr>
                <w:rFonts w:ascii="Times New Roman" w:hAnsi="Times New Roman" w:cs="Times New Roman"/>
                <w:b/>
                <w:sz w:val="20"/>
                <w:szCs w:val="20"/>
              </w:rPr>
              <w:t>Наименование мероприятия</w:t>
            </w:r>
          </w:p>
        </w:tc>
        <w:tc>
          <w:tcPr>
            <w:tcW w:w="2940" w:type="dxa"/>
          </w:tcPr>
          <w:p w:rsidR="00202351" w:rsidRPr="00202351" w:rsidRDefault="00202351" w:rsidP="0019036B">
            <w:pPr>
              <w:pStyle w:val="affff3"/>
              <w:rPr>
                <w:rFonts w:ascii="Times New Roman" w:hAnsi="Times New Roman" w:cs="Times New Roman"/>
                <w:b/>
                <w:sz w:val="20"/>
                <w:szCs w:val="20"/>
              </w:rPr>
            </w:pPr>
            <w:r w:rsidRPr="00202351">
              <w:rPr>
                <w:rFonts w:ascii="Times New Roman" w:hAnsi="Times New Roman" w:cs="Times New Roman"/>
                <w:b/>
                <w:sz w:val="20"/>
                <w:szCs w:val="20"/>
              </w:rPr>
              <w:t>Форма мероприятия</w:t>
            </w:r>
          </w:p>
        </w:tc>
        <w:tc>
          <w:tcPr>
            <w:tcW w:w="1914" w:type="dxa"/>
          </w:tcPr>
          <w:p w:rsidR="00202351" w:rsidRPr="00202351" w:rsidRDefault="00202351" w:rsidP="0019036B">
            <w:pPr>
              <w:pStyle w:val="affff3"/>
              <w:rPr>
                <w:rFonts w:ascii="Times New Roman" w:hAnsi="Times New Roman" w:cs="Times New Roman"/>
                <w:b/>
                <w:sz w:val="20"/>
                <w:szCs w:val="20"/>
              </w:rPr>
            </w:pPr>
            <w:r w:rsidRPr="00202351">
              <w:rPr>
                <w:rFonts w:ascii="Times New Roman" w:hAnsi="Times New Roman" w:cs="Times New Roman"/>
                <w:b/>
                <w:sz w:val="20"/>
                <w:szCs w:val="20"/>
              </w:rPr>
              <w:t>Сроки (периодичность) проведения мероприятия</w:t>
            </w:r>
          </w:p>
        </w:tc>
        <w:tc>
          <w:tcPr>
            <w:tcW w:w="1915" w:type="dxa"/>
          </w:tcPr>
          <w:p w:rsidR="00202351" w:rsidRPr="00202351" w:rsidRDefault="00202351" w:rsidP="0019036B">
            <w:pPr>
              <w:pStyle w:val="affff3"/>
              <w:rPr>
                <w:rFonts w:ascii="Times New Roman" w:hAnsi="Times New Roman" w:cs="Times New Roman"/>
                <w:b/>
                <w:sz w:val="20"/>
                <w:szCs w:val="20"/>
              </w:rPr>
            </w:pPr>
            <w:r w:rsidRPr="00202351">
              <w:rPr>
                <w:rFonts w:ascii="Times New Roman" w:hAnsi="Times New Roman" w:cs="Times New Roman"/>
                <w:b/>
                <w:sz w:val="20"/>
                <w:szCs w:val="20"/>
              </w:rPr>
              <w:t>Ответственное структурное подразделение</w:t>
            </w:r>
          </w:p>
        </w:tc>
      </w:tr>
      <w:tr w:rsidR="00202351" w:rsidRPr="00202351" w:rsidTr="0019036B">
        <w:tc>
          <w:tcPr>
            <w:tcW w:w="67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1</w:t>
            </w:r>
          </w:p>
        </w:tc>
        <w:tc>
          <w:tcPr>
            <w:tcW w:w="2127"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Информирование</w:t>
            </w:r>
          </w:p>
        </w:tc>
        <w:tc>
          <w:tcPr>
            <w:tcW w:w="2940"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Размещение на официальном сайте муниципального образования нормативно-правовых актов или отдельных частей, содержащих обязательные требования, оценка соблюдения которых является предметом муниципального контроля</w:t>
            </w:r>
          </w:p>
        </w:tc>
        <w:tc>
          <w:tcPr>
            <w:tcW w:w="1914"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Постоянно</w:t>
            </w:r>
          </w:p>
        </w:tc>
        <w:tc>
          <w:tcPr>
            <w:tcW w:w="191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Отдел муниципального контроля</w:t>
            </w:r>
          </w:p>
        </w:tc>
      </w:tr>
      <w:tr w:rsidR="00202351" w:rsidRPr="00202351" w:rsidTr="0019036B">
        <w:tc>
          <w:tcPr>
            <w:tcW w:w="675" w:type="dxa"/>
          </w:tcPr>
          <w:p w:rsidR="00202351" w:rsidRPr="00202351" w:rsidRDefault="00202351" w:rsidP="0019036B">
            <w:pPr>
              <w:pStyle w:val="affff3"/>
              <w:rPr>
                <w:rFonts w:ascii="Times New Roman" w:hAnsi="Times New Roman" w:cs="Times New Roman"/>
                <w:sz w:val="20"/>
                <w:szCs w:val="20"/>
              </w:rPr>
            </w:pPr>
          </w:p>
        </w:tc>
        <w:tc>
          <w:tcPr>
            <w:tcW w:w="2127" w:type="dxa"/>
          </w:tcPr>
          <w:p w:rsidR="00202351" w:rsidRPr="00202351" w:rsidRDefault="00202351" w:rsidP="0019036B">
            <w:pPr>
              <w:pStyle w:val="affff3"/>
              <w:rPr>
                <w:rFonts w:ascii="Times New Roman" w:hAnsi="Times New Roman" w:cs="Times New Roman"/>
                <w:sz w:val="20"/>
                <w:szCs w:val="20"/>
              </w:rPr>
            </w:pPr>
          </w:p>
        </w:tc>
        <w:tc>
          <w:tcPr>
            <w:tcW w:w="2940"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 xml:space="preserve">Пополнение, актуализация перечней нормативных </w:t>
            </w:r>
            <w:r w:rsidRPr="00202351">
              <w:rPr>
                <w:rFonts w:ascii="Times New Roman" w:hAnsi="Times New Roman" w:cs="Times New Roman"/>
                <w:sz w:val="20"/>
                <w:szCs w:val="20"/>
              </w:rPr>
              <w:lastRenderedPageBreak/>
              <w:t>правовых актов, содержащих обязательные требования, соблюдение которых оценивается при проведении мероприятий по контролю</w:t>
            </w:r>
          </w:p>
        </w:tc>
        <w:tc>
          <w:tcPr>
            <w:tcW w:w="1914"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lastRenderedPageBreak/>
              <w:t xml:space="preserve">По мере издания новых </w:t>
            </w:r>
            <w:r w:rsidRPr="00202351">
              <w:rPr>
                <w:rFonts w:ascii="Times New Roman" w:hAnsi="Times New Roman" w:cs="Times New Roman"/>
                <w:sz w:val="20"/>
                <w:szCs w:val="20"/>
              </w:rPr>
              <w:lastRenderedPageBreak/>
              <w:t>нормативных правовых или внесения изменений в действующие</w:t>
            </w:r>
          </w:p>
        </w:tc>
        <w:tc>
          <w:tcPr>
            <w:tcW w:w="191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lastRenderedPageBreak/>
              <w:t xml:space="preserve">Отдел муниципального </w:t>
            </w:r>
            <w:r w:rsidRPr="00202351">
              <w:rPr>
                <w:rFonts w:ascii="Times New Roman" w:hAnsi="Times New Roman" w:cs="Times New Roman"/>
                <w:sz w:val="20"/>
                <w:szCs w:val="20"/>
              </w:rPr>
              <w:lastRenderedPageBreak/>
              <w:t>контроля</w:t>
            </w:r>
          </w:p>
        </w:tc>
      </w:tr>
      <w:tr w:rsidR="00202351" w:rsidRPr="00202351" w:rsidTr="0019036B">
        <w:tc>
          <w:tcPr>
            <w:tcW w:w="675" w:type="dxa"/>
          </w:tcPr>
          <w:p w:rsidR="00202351" w:rsidRPr="00202351" w:rsidRDefault="00202351" w:rsidP="0019036B">
            <w:pPr>
              <w:pStyle w:val="affff3"/>
              <w:rPr>
                <w:rFonts w:ascii="Times New Roman" w:hAnsi="Times New Roman" w:cs="Times New Roman"/>
                <w:sz w:val="20"/>
                <w:szCs w:val="20"/>
              </w:rPr>
            </w:pPr>
          </w:p>
        </w:tc>
        <w:tc>
          <w:tcPr>
            <w:tcW w:w="2127" w:type="dxa"/>
          </w:tcPr>
          <w:p w:rsidR="00202351" w:rsidRPr="00202351" w:rsidRDefault="00202351" w:rsidP="0019036B">
            <w:pPr>
              <w:pStyle w:val="affff3"/>
              <w:rPr>
                <w:rFonts w:ascii="Times New Roman" w:hAnsi="Times New Roman" w:cs="Times New Roman"/>
                <w:sz w:val="20"/>
                <w:szCs w:val="20"/>
              </w:rPr>
            </w:pPr>
          </w:p>
        </w:tc>
        <w:tc>
          <w:tcPr>
            <w:tcW w:w="2940"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Разработка, утверждение и размещение на официальном сайте муниципального образования программы профилактики рисков причинения вреда</w:t>
            </w:r>
          </w:p>
        </w:tc>
        <w:tc>
          <w:tcPr>
            <w:tcW w:w="1914"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Не позднее 20 декабря 2023 года</w:t>
            </w:r>
          </w:p>
        </w:tc>
        <w:tc>
          <w:tcPr>
            <w:tcW w:w="191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Отдел муниципального контроля</w:t>
            </w:r>
          </w:p>
        </w:tc>
      </w:tr>
      <w:tr w:rsidR="00202351" w:rsidRPr="00202351" w:rsidTr="0019036B">
        <w:tc>
          <w:tcPr>
            <w:tcW w:w="67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2</w:t>
            </w:r>
          </w:p>
        </w:tc>
        <w:tc>
          <w:tcPr>
            <w:tcW w:w="2127"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Обобщение правоприменительной практики</w:t>
            </w:r>
          </w:p>
        </w:tc>
        <w:tc>
          <w:tcPr>
            <w:tcW w:w="2940"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Подготовка и размещение на официальном сайте муниципального образования докладов, содержащих результаты обобщения правоприменительной практики</w:t>
            </w:r>
          </w:p>
        </w:tc>
        <w:tc>
          <w:tcPr>
            <w:tcW w:w="1914"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Не позднее 1 апреля 2024</w:t>
            </w:r>
            <w:bookmarkStart w:id="3" w:name="_GoBack"/>
            <w:bookmarkEnd w:id="3"/>
            <w:r w:rsidRPr="00202351">
              <w:rPr>
                <w:rFonts w:ascii="Times New Roman" w:hAnsi="Times New Roman" w:cs="Times New Roman"/>
                <w:sz w:val="20"/>
                <w:szCs w:val="20"/>
              </w:rPr>
              <w:t xml:space="preserve"> года</w:t>
            </w:r>
          </w:p>
        </w:tc>
        <w:tc>
          <w:tcPr>
            <w:tcW w:w="191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Отдел муниципального контроля</w:t>
            </w:r>
          </w:p>
        </w:tc>
      </w:tr>
      <w:tr w:rsidR="00202351" w:rsidRPr="00202351" w:rsidTr="0019036B">
        <w:tc>
          <w:tcPr>
            <w:tcW w:w="67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3</w:t>
            </w:r>
          </w:p>
        </w:tc>
        <w:tc>
          <w:tcPr>
            <w:tcW w:w="2127"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Объявление предостережений о недопустимости нарушения обязательных требований</w:t>
            </w:r>
          </w:p>
        </w:tc>
        <w:tc>
          <w:tcPr>
            <w:tcW w:w="2940"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 248-ФЗ</w:t>
            </w:r>
          </w:p>
        </w:tc>
        <w:tc>
          <w:tcPr>
            <w:tcW w:w="1914"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В течение года, при наличии оснований</w:t>
            </w:r>
          </w:p>
        </w:tc>
        <w:tc>
          <w:tcPr>
            <w:tcW w:w="191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Отдел муниципального контроля</w:t>
            </w:r>
          </w:p>
        </w:tc>
      </w:tr>
      <w:tr w:rsidR="00202351" w:rsidRPr="00202351" w:rsidTr="0019036B">
        <w:tc>
          <w:tcPr>
            <w:tcW w:w="67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4</w:t>
            </w:r>
          </w:p>
        </w:tc>
        <w:tc>
          <w:tcPr>
            <w:tcW w:w="2127"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Консультирование</w:t>
            </w:r>
          </w:p>
        </w:tc>
        <w:tc>
          <w:tcPr>
            <w:tcW w:w="2940"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Консультирование контролируемых лиц осуществляется в письменной форме, 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1914"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В течение года, по мере необходимости</w:t>
            </w:r>
          </w:p>
        </w:tc>
        <w:tc>
          <w:tcPr>
            <w:tcW w:w="191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Отдел муниципального контроля</w:t>
            </w:r>
          </w:p>
        </w:tc>
      </w:tr>
      <w:tr w:rsidR="00202351" w:rsidRPr="00202351" w:rsidTr="0019036B">
        <w:tc>
          <w:tcPr>
            <w:tcW w:w="67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5</w:t>
            </w:r>
          </w:p>
        </w:tc>
        <w:tc>
          <w:tcPr>
            <w:tcW w:w="2127"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Профилактический визит</w:t>
            </w:r>
          </w:p>
        </w:tc>
        <w:tc>
          <w:tcPr>
            <w:tcW w:w="2940"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914"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В течение года, по мере необходимости</w:t>
            </w:r>
          </w:p>
        </w:tc>
        <w:tc>
          <w:tcPr>
            <w:tcW w:w="1915" w:type="dxa"/>
          </w:tcPr>
          <w:p w:rsidR="00202351" w:rsidRPr="00202351" w:rsidRDefault="00202351" w:rsidP="0019036B">
            <w:pPr>
              <w:pStyle w:val="affff3"/>
              <w:rPr>
                <w:rFonts w:ascii="Times New Roman" w:hAnsi="Times New Roman" w:cs="Times New Roman"/>
                <w:sz w:val="20"/>
                <w:szCs w:val="20"/>
              </w:rPr>
            </w:pPr>
            <w:r w:rsidRPr="00202351">
              <w:rPr>
                <w:rFonts w:ascii="Times New Roman" w:hAnsi="Times New Roman" w:cs="Times New Roman"/>
                <w:sz w:val="20"/>
                <w:szCs w:val="20"/>
              </w:rPr>
              <w:t>Отдел муниципального контроля</w:t>
            </w:r>
          </w:p>
        </w:tc>
      </w:tr>
    </w:tbl>
    <w:p w:rsidR="00202351" w:rsidRPr="00202351" w:rsidRDefault="00202351" w:rsidP="00202351">
      <w:pPr>
        <w:pStyle w:val="affff3"/>
        <w:ind w:firstLine="709"/>
        <w:jc w:val="both"/>
        <w:rPr>
          <w:rFonts w:ascii="Times New Roman" w:hAnsi="Times New Roman" w:cs="Times New Roman"/>
          <w:sz w:val="24"/>
          <w:szCs w:val="24"/>
        </w:rPr>
      </w:pPr>
    </w:p>
    <w:p w:rsidR="00202351" w:rsidRPr="00202351" w:rsidRDefault="00202351" w:rsidP="00202351">
      <w:pPr>
        <w:pStyle w:val="affff3"/>
        <w:ind w:firstLine="709"/>
        <w:jc w:val="center"/>
        <w:rPr>
          <w:rFonts w:ascii="Times New Roman" w:hAnsi="Times New Roman" w:cs="Times New Roman"/>
          <w:b/>
          <w:sz w:val="24"/>
          <w:szCs w:val="24"/>
        </w:rPr>
      </w:pPr>
      <w:r w:rsidRPr="00202351">
        <w:rPr>
          <w:rFonts w:ascii="Times New Roman" w:hAnsi="Times New Roman" w:cs="Times New Roman"/>
          <w:b/>
          <w:sz w:val="24"/>
          <w:szCs w:val="24"/>
        </w:rPr>
        <w:t>Раздел 4. Показатели результативности и эффективности программы профилактики</w:t>
      </w:r>
    </w:p>
    <w:p w:rsidR="00202351" w:rsidRPr="00202351" w:rsidRDefault="00202351" w:rsidP="00202351">
      <w:pPr>
        <w:pStyle w:val="affff3"/>
        <w:ind w:firstLine="709"/>
        <w:jc w:val="both"/>
        <w:rPr>
          <w:rFonts w:ascii="Times New Roman" w:hAnsi="Times New Roman" w:cs="Times New Roman"/>
          <w:sz w:val="24"/>
          <w:szCs w:val="24"/>
        </w:rPr>
      </w:pP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4.1. 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доля профилактических мероприятий в объеме контрольных мероприятий, %;</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доля выявленных нарушений обязательных требований в объеме общего количества контрольных мероприятий, %</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4.2. Отчетным периодом для определения значений показателей является календарный год.</w:t>
      </w:r>
    </w:p>
    <w:p w:rsidR="00202351" w:rsidRPr="00202351" w:rsidRDefault="00202351" w:rsidP="00202351">
      <w:pPr>
        <w:pStyle w:val="affff3"/>
        <w:ind w:firstLine="709"/>
        <w:jc w:val="both"/>
        <w:rPr>
          <w:rFonts w:ascii="Times New Roman" w:hAnsi="Times New Roman" w:cs="Times New Roman"/>
          <w:sz w:val="24"/>
          <w:szCs w:val="24"/>
        </w:rPr>
      </w:pPr>
      <w:r w:rsidRPr="00202351">
        <w:rPr>
          <w:rFonts w:ascii="Times New Roman" w:hAnsi="Times New Roman" w:cs="Times New Roman"/>
          <w:sz w:val="24"/>
          <w:szCs w:val="24"/>
        </w:rPr>
        <w:t>Результаты оценки фактических (достигнутых) значений показателей включаются в ежегодные доклады об осуществлении муниципального контроля.</w:t>
      </w:r>
    </w:p>
    <w:p w:rsidR="00202351" w:rsidRPr="00202351" w:rsidRDefault="00202351" w:rsidP="00202351">
      <w:pPr>
        <w:pStyle w:val="affff3"/>
        <w:ind w:firstLine="709"/>
        <w:jc w:val="both"/>
        <w:rPr>
          <w:rFonts w:ascii="Times New Roman" w:hAnsi="Times New Roman" w:cs="Times New Roman"/>
          <w:sz w:val="24"/>
          <w:szCs w:val="24"/>
        </w:rPr>
      </w:pPr>
    </w:p>
    <w:sectPr w:rsidR="00202351" w:rsidRPr="00202351"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774" w:rsidRDefault="00986774">
      <w:r>
        <w:separator/>
      </w:r>
    </w:p>
  </w:endnote>
  <w:endnote w:type="continuationSeparator" w:id="0">
    <w:p w:rsidR="00986774" w:rsidRDefault="00986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774" w:rsidRDefault="00986774">
      <w:r>
        <w:separator/>
      </w:r>
    </w:p>
  </w:footnote>
  <w:footnote w:type="continuationSeparator" w:id="0">
    <w:p w:rsidR="00986774" w:rsidRDefault="00986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1">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4">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5">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8">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9">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1">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4">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5">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7">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8">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8"/>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29"/>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5"/>
  </w:num>
  <w:num w:numId="12">
    <w:abstractNumId w:val="2"/>
  </w:num>
  <w:num w:numId="13">
    <w:abstractNumId w:val="0"/>
  </w:num>
  <w:num w:numId="14">
    <w:abstractNumId w:val="21"/>
  </w:num>
  <w:num w:numId="15">
    <w:abstractNumId w:val="3"/>
  </w:num>
  <w:num w:numId="16">
    <w:abstractNumId w:val="9"/>
  </w:num>
  <w:num w:numId="17">
    <w:abstractNumId w:val="18"/>
  </w:num>
  <w:num w:numId="18">
    <w:abstractNumId w:val="12"/>
  </w:num>
  <w:num w:numId="19">
    <w:abstractNumId w:val="34"/>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8"/>
    <w:lvlOverride w:ilvl="0">
      <w:startOverride w:val="4"/>
    </w:lvlOverride>
  </w:num>
  <w:num w:numId="24">
    <w:abstractNumId w:val="11"/>
    <w:lvlOverride w:ilvl="0">
      <w:startOverride w:val="5"/>
    </w:lvlOverride>
  </w:num>
  <w:num w:numId="25">
    <w:abstractNumId w:val="37"/>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num>
  <w:num w:numId="28">
    <w:abstractNumId w:val="23"/>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20"/>
    <w:lvlOverride w:ilvl="0">
      <w:startOverride w:val="1"/>
    </w:lvlOverride>
  </w:num>
  <w:num w:numId="32">
    <w:abstractNumId w:val="27"/>
  </w:num>
  <w:num w:numId="33">
    <w:abstractNumId w:val="36"/>
  </w:num>
  <w:num w:numId="34">
    <w:abstractNumId w:val="32"/>
  </w:num>
  <w:num w:numId="35">
    <w:abstractNumId w:val="26"/>
  </w:num>
  <w:num w:numId="36">
    <w:abstractNumId w:val="4"/>
  </w:num>
  <w:num w:numId="37">
    <w:abstractNumId w:val="14"/>
  </w:num>
  <w:num w:numId="38">
    <w:abstractNumId w:val="17"/>
  </w:num>
  <w:num w:numId="39">
    <w:abstractNumId w:val="2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665BC"/>
    <w:rsid w:val="00170404"/>
    <w:rsid w:val="00175EB3"/>
    <w:rsid w:val="0019149B"/>
    <w:rsid w:val="00192D20"/>
    <w:rsid w:val="001A0EA0"/>
    <w:rsid w:val="001A2F81"/>
    <w:rsid w:val="001B4618"/>
    <w:rsid w:val="001B78D2"/>
    <w:rsid w:val="001C1AAC"/>
    <w:rsid w:val="001C3CD3"/>
    <w:rsid w:val="001C6E02"/>
    <w:rsid w:val="001C7207"/>
    <w:rsid w:val="001D3E9E"/>
    <w:rsid w:val="001D4854"/>
    <w:rsid w:val="001D7C75"/>
    <w:rsid w:val="001E0CED"/>
    <w:rsid w:val="001E1CDB"/>
    <w:rsid w:val="001E1DF3"/>
    <w:rsid w:val="001E5D1F"/>
    <w:rsid w:val="001E5F63"/>
    <w:rsid w:val="001F2B07"/>
    <w:rsid w:val="001F7AAF"/>
    <w:rsid w:val="00201F5D"/>
    <w:rsid w:val="00202351"/>
    <w:rsid w:val="00203CB3"/>
    <w:rsid w:val="00204423"/>
    <w:rsid w:val="00205F92"/>
    <w:rsid w:val="002068DD"/>
    <w:rsid w:val="00213373"/>
    <w:rsid w:val="00214298"/>
    <w:rsid w:val="00222837"/>
    <w:rsid w:val="00225D0E"/>
    <w:rsid w:val="00227D00"/>
    <w:rsid w:val="002321F4"/>
    <w:rsid w:val="00233B69"/>
    <w:rsid w:val="00236F32"/>
    <w:rsid w:val="00236F6C"/>
    <w:rsid w:val="0024257B"/>
    <w:rsid w:val="00245188"/>
    <w:rsid w:val="00251681"/>
    <w:rsid w:val="0025274F"/>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E4D8F"/>
    <w:rsid w:val="003F433F"/>
    <w:rsid w:val="003F47A9"/>
    <w:rsid w:val="003F6360"/>
    <w:rsid w:val="00402DDB"/>
    <w:rsid w:val="0040760F"/>
    <w:rsid w:val="00410A65"/>
    <w:rsid w:val="004172A3"/>
    <w:rsid w:val="00420535"/>
    <w:rsid w:val="00420557"/>
    <w:rsid w:val="00420E04"/>
    <w:rsid w:val="0042284E"/>
    <w:rsid w:val="004269AC"/>
    <w:rsid w:val="00427462"/>
    <w:rsid w:val="00442F4D"/>
    <w:rsid w:val="00443898"/>
    <w:rsid w:val="00444A3C"/>
    <w:rsid w:val="00453374"/>
    <w:rsid w:val="00455D85"/>
    <w:rsid w:val="00463FAD"/>
    <w:rsid w:val="00476138"/>
    <w:rsid w:val="00477025"/>
    <w:rsid w:val="0047729B"/>
    <w:rsid w:val="00482440"/>
    <w:rsid w:val="00482AE4"/>
    <w:rsid w:val="00485943"/>
    <w:rsid w:val="00486338"/>
    <w:rsid w:val="00491B55"/>
    <w:rsid w:val="004942CE"/>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97DF7"/>
    <w:rsid w:val="006A276F"/>
    <w:rsid w:val="006A32CD"/>
    <w:rsid w:val="006B285C"/>
    <w:rsid w:val="006D1958"/>
    <w:rsid w:val="006D3014"/>
    <w:rsid w:val="006D4358"/>
    <w:rsid w:val="006D4712"/>
    <w:rsid w:val="006E0A8B"/>
    <w:rsid w:val="006E314A"/>
    <w:rsid w:val="006E7C89"/>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9C6"/>
    <w:rsid w:val="007A5C7C"/>
    <w:rsid w:val="007B0B62"/>
    <w:rsid w:val="007B2DBB"/>
    <w:rsid w:val="007B7F06"/>
    <w:rsid w:val="007D1623"/>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D5E7D"/>
    <w:rsid w:val="008E2C78"/>
    <w:rsid w:val="008E6C89"/>
    <w:rsid w:val="008F3490"/>
    <w:rsid w:val="008F3DD5"/>
    <w:rsid w:val="0090208E"/>
    <w:rsid w:val="00903D64"/>
    <w:rsid w:val="00904B6A"/>
    <w:rsid w:val="00907332"/>
    <w:rsid w:val="0091035F"/>
    <w:rsid w:val="00922281"/>
    <w:rsid w:val="009241CF"/>
    <w:rsid w:val="00931216"/>
    <w:rsid w:val="00933F73"/>
    <w:rsid w:val="0094477F"/>
    <w:rsid w:val="00954335"/>
    <w:rsid w:val="009567C5"/>
    <w:rsid w:val="00972AB3"/>
    <w:rsid w:val="009733A2"/>
    <w:rsid w:val="00974C3F"/>
    <w:rsid w:val="009756F2"/>
    <w:rsid w:val="009763C8"/>
    <w:rsid w:val="00986774"/>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2716A"/>
    <w:rsid w:val="00B3470C"/>
    <w:rsid w:val="00B3652A"/>
    <w:rsid w:val="00B36560"/>
    <w:rsid w:val="00B36998"/>
    <w:rsid w:val="00B43AFE"/>
    <w:rsid w:val="00B4636A"/>
    <w:rsid w:val="00B60553"/>
    <w:rsid w:val="00B63E9D"/>
    <w:rsid w:val="00B744C2"/>
    <w:rsid w:val="00B74F23"/>
    <w:rsid w:val="00B826EE"/>
    <w:rsid w:val="00B84E18"/>
    <w:rsid w:val="00B91628"/>
    <w:rsid w:val="00B95677"/>
    <w:rsid w:val="00B9623A"/>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CF6478"/>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579FB"/>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1E21"/>
    <w:rsid w:val="00E32DFD"/>
    <w:rsid w:val="00E34753"/>
    <w:rsid w:val="00E35912"/>
    <w:rsid w:val="00E374F4"/>
    <w:rsid w:val="00E46C94"/>
    <w:rsid w:val="00E52383"/>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E3562"/>
    <w:rsid w:val="00EF5533"/>
    <w:rsid w:val="00F0003F"/>
    <w:rsid w:val="00F031B2"/>
    <w:rsid w:val="00F14B16"/>
    <w:rsid w:val="00F17EC9"/>
    <w:rsid w:val="00F20071"/>
    <w:rsid w:val="00F20E30"/>
    <w:rsid w:val="00F219F5"/>
    <w:rsid w:val="00F25F5D"/>
    <w:rsid w:val="00F2748B"/>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560E"/>
    <w:rsid w:val="00FA6A95"/>
    <w:rsid w:val="00FB20DC"/>
    <w:rsid w:val="00FB3EA6"/>
    <w:rsid w:val="00FB4CFB"/>
    <w:rsid w:val="00FD11CF"/>
    <w:rsid w:val="00FD4EAB"/>
    <w:rsid w:val="00FE017E"/>
    <w:rsid w:val="00FE36C9"/>
    <w:rsid w:val="00FE5427"/>
    <w:rsid w:val="00FE5A5F"/>
    <w:rsid w:val="00FE78F4"/>
    <w:rsid w:val="00FF5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 w:type="paragraph" w:styleId="affff3">
    <w:name w:val="No Spacing"/>
    <w:uiPriority w:val="1"/>
    <w:qFormat/>
    <w:rsid w:val="0020235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C756-110A-4CE4-B658-C3AA511B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Пользователь Windows</cp:lastModifiedBy>
  <cp:revision>11</cp:revision>
  <cp:lastPrinted>2021-04-12T05:19:00Z</cp:lastPrinted>
  <dcterms:created xsi:type="dcterms:W3CDTF">2021-10-05T13:12:00Z</dcterms:created>
  <dcterms:modified xsi:type="dcterms:W3CDTF">2023-12-11T06:43:00Z</dcterms:modified>
</cp:coreProperties>
</file>